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505C1" w14:textId="5F28B17A" w:rsidR="00901D4B" w:rsidRPr="00901D4B" w:rsidRDefault="00901D4B" w:rsidP="00901D4B">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006F0075">
        <w:rPr>
          <w:rFonts w:ascii="Arial" w:eastAsia="MS Mincho" w:hAnsi="Arial"/>
          <w:b/>
          <w:noProof/>
          <w:sz w:val="24"/>
        </w:rPr>
        <w:t>108</w:t>
      </w:r>
      <w:r w:rsidR="006F0075">
        <w:rPr>
          <w:rFonts w:ascii="Arial" w:eastAsia="MS Mincho" w:hAnsi="Arial"/>
          <w:b/>
          <w:noProof/>
          <w:sz w:val="24"/>
        </w:rPr>
        <w:tab/>
      </w:r>
      <w:r w:rsidR="006F0075" w:rsidRPr="006F0075">
        <w:rPr>
          <w:rFonts w:ascii="Arial" w:eastAsia="MS Mincho" w:hAnsi="Arial"/>
          <w:b/>
          <w:noProof/>
          <w:sz w:val="24"/>
        </w:rPr>
        <w:t>R4-2312219</w:t>
      </w:r>
    </w:p>
    <w:p w14:paraId="440AA244" w14:textId="77777777" w:rsidR="00901D4B" w:rsidRPr="00901D4B" w:rsidRDefault="00901D4B" w:rsidP="00901D4B">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2637FD31" w14:textId="77777777" w:rsidR="001E0A28" w:rsidRPr="00901D4B" w:rsidRDefault="001E0A28" w:rsidP="001E0A28">
      <w:pPr>
        <w:spacing w:after="120"/>
        <w:ind w:left="1985" w:hanging="1985"/>
        <w:rPr>
          <w:rFonts w:ascii="Arial" w:eastAsia="MS Mincho" w:hAnsi="Arial" w:cs="Arial"/>
          <w:b/>
          <w:sz w:val="22"/>
        </w:rPr>
      </w:pPr>
    </w:p>
    <w:p w14:paraId="1768AE98" w14:textId="6805902A"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F34F9E" w:rsidRPr="00F34F9E">
        <w:rPr>
          <w:rFonts w:ascii="Arial" w:eastAsia="MS Mincho" w:hAnsi="Arial" w:cs="Arial"/>
          <w:color w:val="000000"/>
          <w:sz w:val="22"/>
        </w:rPr>
        <w:t xml:space="preserve">Specific </w:t>
      </w:r>
      <w:r w:rsidR="00AA7009" w:rsidRPr="00F34F9E">
        <w:rPr>
          <w:rFonts w:ascii="Arial" w:eastAsiaTheme="minorEastAsia" w:hAnsi="Arial" w:cs="Arial"/>
          <w:color w:val="000000"/>
          <w:sz w:val="22"/>
          <w:lang w:eastAsia="zh-CN"/>
        </w:rPr>
        <w:t>NTN</w:t>
      </w:r>
      <w:r w:rsidR="00AA7009">
        <w:rPr>
          <w:rFonts w:ascii="Arial" w:eastAsiaTheme="minorEastAsia" w:hAnsi="Arial" w:cs="Arial"/>
          <w:color w:val="000000"/>
          <w:sz w:val="22"/>
          <w:lang w:eastAsia="zh-CN"/>
        </w:rPr>
        <w:t xml:space="preserve"> in above 10 GHz working hypothesis for RR</w:t>
      </w:r>
      <w:bookmarkStart w:id="2" w:name="_GoBack"/>
      <w:bookmarkEnd w:id="2"/>
      <w:r w:rsidR="00AA7009">
        <w:rPr>
          <w:rFonts w:ascii="Arial" w:eastAsiaTheme="minorEastAsia" w:hAnsi="Arial" w:cs="Arial"/>
          <w:color w:val="000000"/>
          <w:sz w:val="22"/>
          <w:lang w:eastAsia="zh-CN"/>
        </w:rPr>
        <w:t>M requirements</w:t>
      </w:r>
    </w:p>
    <w:p w14:paraId="7A2DCA47" w14:textId="5F5E872F" w:rsidR="006F0075" w:rsidRPr="006F0075" w:rsidRDefault="006F0075" w:rsidP="006F0075">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Pr>
          <w:rFonts w:ascii="Arial" w:hAnsi="Arial" w:cs="Arial"/>
          <w:color w:val="000000"/>
          <w:sz w:val="22"/>
          <w:lang w:eastAsia="zh-CN"/>
        </w:rPr>
        <w:t>THALES</w:t>
      </w:r>
    </w:p>
    <w:p w14:paraId="711590E0" w14:textId="63C0E569" w:rsidR="006F0075" w:rsidRPr="006F0075" w:rsidRDefault="006F0075" w:rsidP="006F007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Type</w:t>
      </w:r>
      <w:r w:rsidRPr="008B7FAD">
        <w:rPr>
          <w:rFonts w:ascii="Arial" w:eastAsia="MS Mincho" w:hAnsi="Arial" w:cs="Arial"/>
          <w:b/>
          <w:color w:val="000000"/>
          <w:sz w:val="22"/>
        </w:rPr>
        <w:t>:</w:t>
      </w:r>
      <w:r w:rsidRPr="008B7FAD">
        <w:rPr>
          <w:rFonts w:ascii="Arial" w:eastAsia="MS Mincho" w:hAnsi="Arial" w:cs="Arial"/>
          <w:b/>
          <w:color w:val="000000"/>
          <w:sz w:val="22"/>
        </w:rPr>
        <w:tab/>
      </w:r>
      <w:r w:rsidRPr="008B7FAD">
        <w:rPr>
          <w:rFonts w:ascii="Arial" w:eastAsiaTheme="minorEastAsia" w:hAnsi="Arial" w:cs="Arial"/>
          <w:color w:val="000000"/>
          <w:sz w:val="22"/>
          <w:lang w:eastAsia="zh-CN"/>
        </w:rPr>
        <w:t>Discussion</w:t>
      </w:r>
    </w:p>
    <w:p w14:paraId="1D7E7433" w14:textId="4B525C97" w:rsidR="00A542C3"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31B6EC64" w14:textId="2A589C7D" w:rsidR="006F0075" w:rsidRPr="006F0075" w:rsidRDefault="006F0075" w:rsidP="006F00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Agenda item:</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Pr>
          <w:rFonts w:ascii="Arial" w:eastAsia="PMingLiU" w:hAnsi="Arial" w:cs="Arial"/>
          <w:color w:val="000000"/>
          <w:sz w:val="22"/>
          <w:lang w:val="pt-BR" w:eastAsia="zh-TW"/>
        </w:rPr>
        <w:t>8</w:t>
      </w:r>
      <w:r w:rsidRPr="00B54BA9">
        <w:rPr>
          <w:rFonts w:ascii="Arial" w:eastAsia="PMingLiU" w:hAnsi="Arial" w:cs="Arial"/>
          <w:color w:val="000000"/>
          <w:sz w:val="22"/>
          <w:lang w:eastAsia="zh-TW"/>
        </w:rPr>
        <w:t>.</w:t>
      </w:r>
      <w:r>
        <w:rPr>
          <w:rFonts w:ascii="Arial" w:eastAsia="PMingLiU" w:hAnsi="Arial" w:cs="Arial" w:hint="eastAsia"/>
          <w:color w:val="000000"/>
          <w:sz w:val="22"/>
          <w:lang w:eastAsia="zh-TW"/>
        </w:rPr>
        <w:t>26</w:t>
      </w:r>
      <w:r w:rsidRPr="00B54BA9">
        <w:rPr>
          <w:rFonts w:ascii="Arial" w:eastAsia="PMingLiU" w:hAnsi="Arial" w:cs="Arial"/>
          <w:color w:val="000000"/>
          <w:sz w:val="22"/>
          <w:lang w:eastAsia="zh-TW"/>
        </w:rPr>
        <w:t>.</w:t>
      </w:r>
      <w:r>
        <w:rPr>
          <w:rFonts w:ascii="Arial" w:eastAsia="PMingLiU" w:hAnsi="Arial" w:cs="Arial" w:hint="eastAsia"/>
          <w:color w:val="000000"/>
          <w:sz w:val="22"/>
          <w:lang w:eastAsia="zh-TW"/>
        </w:rPr>
        <w:t>5.1</w:t>
      </w:r>
    </w:p>
    <w:p w14:paraId="0D35CA80" w14:textId="00E7E1C8" w:rsidR="0049368F" w:rsidRPr="001645FB" w:rsidRDefault="00915D73" w:rsidP="001645FB">
      <w:pPr>
        <w:pStyle w:val="Titre1"/>
        <w:rPr>
          <w:rFonts w:eastAsiaTheme="minorEastAsia"/>
          <w:lang w:eastAsia="zh-CN"/>
        </w:rPr>
      </w:pPr>
      <w:r w:rsidRPr="008B7FAD">
        <w:rPr>
          <w:lang w:eastAsia="ja-JP"/>
        </w:rPr>
        <w:t>Introduction</w:t>
      </w:r>
    </w:p>
    <w:p w14:paraId="3DD14BE6" w14:textId="291A7487" w:rsidR="00AA7009" w:rsidRDefault="00AA7009" w:rsidP="00AA7009">
      <w:pPr>
        <w:rPr>
          <w:rFonts w:eastAsia="Times New Roman"/>
        </w:rPr>
      </w:pPr>
      <w:r>
        <w:rPr>
          <w:rFonts w:eastAsia="Times New Roman"/>
        </w:rPr>
        <w:t xml:space="preserve">R4-2310483, </w:t>
      </w:r>
      <w:r w:rsidRPr="00AA7009">
        <w:rPr>
          <w:rFonts w:eastAsia="Times New Roman"/>
        </w:rPr>
        <w:t>WF on UE RF requirements for NR NTN enhancement</w:t>
      </w:r>
      <w:r>
        <w:rPr>
          <w:rFonts w:eastAsia="Times New Roman"/>
        </w:rPr>
        <w:t xml:space="preserve"> (THALES) considered the following agreement:</w:t>
      </w:r>
    </w:p>
    <w:p w14:paraId="24C1D147" w14:textId="0D9F92D9" w:rsidR="00AA7009" w:rsidRPr="00AA7009" w:rsidRDefault="00AA7009" w:rsidP="00AA7009">
      <w:pPr>
        <w:rPr>
          <w:b/>
          <w:bCs/>
          <w:highlight w:val="green"/>
          <w:lang w:val="en-US" w:eastAsia="fr-FR"/>
        </w:rPr>
      </w:pPr>
      <w:r w:rsidRPr="00AA7009">
        <w:rPr>
          <w:b/>
          <w:bCs/>
          <w:highlight w:val="green"/>
          <w:lang w:val="en-US"/>
        </w:rPr>
        <w:t>Agreement:</w:t>
      </w:r>
    </w:p>
    <w:p w14:paraId="3A8658CD" w14:textId="77777777" w:rsidR="00AA7009" w:rsidRDefault="00AA7009" w:rsidP="00AA7009">
      <w:pPr>
        <w:pStyle w:val="Paragraphedeliste"/>
        <w:numPr>
          <w:ilvl w:val="0"/>
          <w:numId w:val="34"/>
        </w:numPr>
        <w:overflowPunct/>
        <w:autoSpaceDE/>
        <w:autoSpaceDN/>
        <w:adjustRightInd/>
        <w:ind w:firstLineChars="0"/>
        <w:textAlignment w:val="auto"/>
        <w:rPr>
          <w:highlight w:val="green"/>
          <w:lang w:val="en-US" w:eastAsia="zh-CN"/>
        </w:rPr>
      </w:pPr>
      <w:r>
        <w:rPr>
          <w:highlight w:val="green"/>
          <w:lang w:val="en-US"/>
        </w:rPr>
        <w:t>At least consider the differentiation between mechanical and electronic steering</w:t>
      </w:r>
    </w:p>
    <w:p w14:paraId="4F09794D" w14:textId="77777777" w:rsidR="00AA7009" w:rsidRDefault="00AA7009" w:rsidP="00AA7009">
      <w:pPr>
        <w:pStyle w:val="Paragraphedeliste"/>
        <w:numPr>
          <w:ilvl w:val="1"/>
          <w:numId w:val="34"/>
        </w:numPr>
        <w:overflowPunct/>
        <w:autoSpaceDE/>
        <w:autoSpaceDN/>
        <w:adjustRightInd/>
        <w:ind w:firstLineChars="0"/>
        <w:textAlignment w:val="auto"/>
        <w:rPr>
          <w:highlight w:val="green"/>
          <w:lang w:val="en-US"/>
        </w:rPr>
      </w:pPr>
      <w:r>
        <w:rPr>
          <w:highlight w:val="green"/>
          <w:lang w:val="en-US"/>
        </w:rPr>
        <w:t>FFS on phased array or parabolic</w:t>
      </w:r>
    </w:p>
    <w:p w14:paraId="397F6E18" w14:textId="77777777" w:rsidR="00AA7009" w:rsidRDefault="00AA7009" w:rsidP="00AA7009">
      <w:pPr>
        <w:pStyle w:val="Paragraphedeliste"/>
        <w:numPr>
          <w:ilvl w:val="1"/>
          <w:numId w:val="34"/>
        </w:numPr>
        <w:overflowPunct/>
        <w:autoSpaceDE/>
        <w:autoSpaceDN/>
        <w:adjustRightInd/>
        <w:ind w:firstLineChars="0"/>
        <w:textAlignment w:val="auto"/>
        <w:rPr>
          <w:highlight w:val="green"/>
          <w:lang w:val="en-US"/>
        </w:rPr>
      </w:pPr>
      <w:r>
        <w:rPr>
          <w:highlight w:val="green"/>
          <w:lang w:val="en-US"/>
        </w:rPr>
        <w:t>Encourage satellite companies to provide the data to show the beam switching delay.</w:t>
      </w:r>
    </w:p>
    <w:p w14:paraId="68AF5081" w14:textId="77777777" w:rsidR="00AA7009" w:rsidRDefault="00AA7009" w:rsidP="00AA7009">
      <w:pPr>
        <w:pStyle w:val="Paragraphedeliste"/>
        <w:numPr>
          <w:ilvl w:val="0"/>
          <w:numId w:val="34"/>
        </w:numPr>
        <w:overflowPunct/>
        <w:autoSpaceDE/>
        <w:autoSpaceDN/>
        <w:adjustRightInd/>
        <w:ind w:firstLineChars="0"/>
        <w:textAlignment w:val="auto"/>
        <w:rPr>
          <w:highlight w:val="green"/>
          <w:lang w:val="en-US"/>
        </w:rPr>
      </w:pPr>
      <w:r>
        <w:rPr>
          <w:highlight w:val="green"/>
          <w:lang w:val="en-US"/>
        </w:rPr>
        <w:t>As the baseline, assume that UE has the single beam towards one single satellite at a given time</w:t>
      </w:r>
    </w:p>
    <w:p w14:paraId="3D42449B" w14:textId="5EC33B5E" w:rsidR="0004486C" w:rsidRDefault="00AA7009" w:rsidP="00CB2CE9">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This contribution is just to recall proposals provided to RAN4 for NTN VSAT UE dedicated session in RAN4#108. Some of these proposals </w:t>
      </w:r>
      <w:r w:rsidR="00F34F9E">
        <w:rPr>
          <w:rFonts w:ascii="Times New Roman" w:eastAsia="Times New Roman" w:hAnsi="Times New Roman" w:cs="Times New Roman"/>
          <w:color w:val="auto"/>
          <w:sz w:val="20"/>
          <w:szCs w:val="20"/>
        </w:rPr>
        <w:t xml:space="preserve">(see </w:t>
      </w:r>
      <w:r w:rsidR="00F34F9E" w:rsidRPr="00F34F9E">
        <w:rPr>
          <w:rFonts w:ascii="Times New Roman" w:eastAsia="Times New Roman" w:hAnsi="Times New Roman" w:cs="Times New Roman"/>
          <w:color w:val="auto"/>
          <w:sz w:val="20"/>
          <w:szCs w:val="20"/>
        </w:rPr>
        <w:t>R4-2312120</w:t>
      </w:r>
      <w:r w:rsidR="00F34F9E">
        <w:rPr>
          <w:rFonts w:ascii="Times New Roman" w:eastAsia="Times New Roman" w:hAnsi="Times New Roman" w:cs="Times New Roman"/>
          <w:color w:val="auto"/>
          <w:sz w:val="20"/>
          <w:szCs w:val="20"/>
        </w:rPr>
        <w:t>, “</w:t>
      </w:r>
      <w:r w:rsidR="00F34F9E" w:rsidRPr="00F34F9E">
        <w:rPr>
          <w:rFonts w:ascii="Times New Roman" w:eastAsia="Times New Roman" w:hAnsi="Times New Roman" w:cs="Times New Roman"/>
          <w:color w:val="auto"/>
          <w:sz w:val="20"/>
          <w:szCs w:val="20"/>
        </w:rPr>
        <w:t>Updates for NTN UE terminal requirements and NF in above 10 GHz</w:t>
      </w:r>
      <w:r w:rsidR="00F34F9E">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can be directly re-used by RRM session for NTN in above 10 GHz.</w:t>
      </w:r>
    </w:p>
    <w:p w14:paraId="02C95E2B" w14:textId="022E4302" w:rsidR="006F0075" w:rsidRDefault="006F0075" w:rsidP="00CB2CE9">
      <w:pPr>
        <w:pStyle w:val="Default"/>
        <w:jc w:val="both"/>
        <w:rPr>
          <w:rFonts w:ascii="Times New Roman" w:eastAsia="Times New Roman" w:hAnsi="Times New Roman" w:cs="Times New Roman"/>
          <w:color w:val="auto"/>
          <w:sz w:val="20"/>
          <w:szCs w:val="20"/>
        </w:rPr>
      </w:pPr>
    </w:p>
    <w:p w14:paraId="43CD5DB9" w14:textId="3C9BAF7B" w:rsidR="006F0075" w:rsidRDefault="006F0075" w:rsidP="00CB2CE9">
      <w:pPr>
        <w:pStyle w:val="Default"/>
        <w:jc w:val="both"/>
        <w:rPr>
          <w:rFonts w:ascii="Times New Roman" w:eastAsia="Times New Roman" w:hAnsi="Times New Roman" w:cs="Times New Roman"/>
          <w:color w:val="auto"/>
          <w:sz w:val="20"/>
          <w:szCs w:val="20"/>
        </w:rPr>
      </w:pPr>
      <w:r w:rsidRPr="006F0075">
        <w:rPr>
          <w:rFonts w:ascii="Times New Roman" w:eastAsia="Times New Roman" w:hAnsi="Times New Roman" w:cs="Times New Roman"/>
          <w:color w:val="auto"/>
          <w:sz w:val="20"/>
          <w:szCs w:val="20"/>
        </w:rPr>
        <w:t>The scope of this document is to discuss specific NTN working hypothesis for RRM requirements in above 10 GHz.</w:t>
      </w:r>
    </w:p>
    <w:p w14:paraId="01F39843" w14:textId="277D6758" w:rsidR="0049368F" w:rsidRPr="008B7FAD" w:rsidRDefault="00AA7009" w:rsidP="00F34F9E">
      <w:pPr>
        <w:pStyle w:val="Titre1"/>
        <w:rPr>
          <w:lang w:eastAsia="ja-JP"/>
        </w:rPr>
      </w:pPr>
      <w:r>
        <w:rPr>
          <w:lang w:eastAsia="ja-JP"/>
        </w:rPr>
        <w:t>Recall UE VSAT Discussion Proposals (</w:t>
      </w:r>
      <w:r w:rsidR="00F34F9E" w:rsidRPr="00F34F9E">
        <w:rPr>
          <w:rFonts w:cs="Arial"/>
          <w:lang w:eastAsia="ja-JP"/>
        </w:rPr>
        <w:t>R4-2312120</w:t>
      </w:r>
      <w:r>
        <w:rPr>
          <w:lang w:eastAsia="ja-JP"/>
        </w:rPr>
        <w:t>)</w:t>
      </w:r>
    </w:p>
    <w:p w14:paraId="52CECDD6" w14:textId="02CA4655" w:rsidR="00AA7009" w:rsidRDefault="002B4E91" w:rsidP="00AA7009">
      <w:pPr>
        <w:jc w:val="both"/>
        <w:rPr>
          <w:rFonts w:ascii="Arial" w:hAnsi="Arial" w:cs="Arial"/>
          <w:b/>
          <w:lang w:eastAsia="fr-FR"/>
        </w:rPr>
      </w:pPr>
      <w:r>
        <w:rPr>
          <w:rFonts w:ascii="Arial" w:hAnsi="Arial" w:cs="Arial"/>
          <w:b/>
          <w:lang w:eastAsia="fr-FR"/>
        </w:rPr>
        <w:t>Proposal 2</w:t>
      </w:r>
      <w:r w:rsidR="00AA7009">
        <w:rPr>
          <w:rFonts w:ascii="Arial" w:hAnsi="Arial" w:cs="Arial"/>
          <w:b/>
          <w:lang w:eastAsia="fr-FR"/>
        </w:rPr>
        <w:t>: RAN4 to use information from clauses 4.2.3 (off-axis EIRP) and 4.2.6 (pointing accuracy) from EN 303 978.</w:t>
      </w:r>
    </w:p>
    <w:p w14:paraId="62BB62DB" w14:textId="3E9F1F42" w:rsidR="00AA7009" w:rsidRDefault="002B4E91" w:rsidP="00AA7009">
      <w:pPr>
        <w:jc w:val="both"/>
        <w:rPr>
          <w:rFonts w:ascii="Arial" w:hAnsi="Arial" w:cs="Arial"/>
          <w:b/>
          <w:lang w:eastAsia="fr-FR"/>
        </w:rPr>
      </w:pPr>
      <w:r>
        <w:rPr>
          <w:rFonts w:ascii="Arial" w:hAnsi="Arial" w:cs="Arial"/>
          <w:b/>
          <w:lang w:eastAsia="fr-FR"/>
        </w:rPr>
        <w:t>Proposal 3</w:t>
      </w:r>
      <w:r w:rsidR="00AA7009">
        <w:rPr>
          <w:rFonts w:ascii="Arial" w:hAnsi="Arial" w:cs="Arial"/>
          <w:b/>
          <w:lang w:eastAsia="fr-FR"/>
        </w:rPr>
        <w:t>: RAN4 to specify NTN UE VSAT pointing accuracy based on manufacturer declaration. RAN4 to reuse the explanation from EN 303 978:</w:t>
      </w:r>
    </w:p>
    <w:p w14:paraId="49CC5CC6" w14:textId="77777777" w:rsidR="00AA7009" w:rsidRDefault="00AA7009" w:rsidP="00AA7009">
      <w:pPr>
        <w:rPr>
          <w:sz w:val="24"/>
          <w:szCs w:val="24"/>
          <w:lang w:val="en-US"/>
        </w:rPr>
      </w:pPr>
      <w:r>
        <w:rPr>
          <w:sz w:val="24"/>
          <w:szCs w:val="24"/>
        </w:rPr>
        <w:t>“The applicant shall declare the peak pointing accuracy (</w:t>
      </w:r>
      <w:r>
        <w:rPr>
          <w:sz w:val="24"/>
          <w:szCs w:val="24"/>
        </w:rPr>
        <w:sym w:font="Symbol" w:char="F064"/>
      </w:r>
      <w:r>
        <w:rPr>
          <w:sz w:val="24"/>
          <w:szCs w:val="24"/>
        </w:rPr>
        <w:sym w:font="Symbol" w:char="F066"/>
      </w:r>
      <w:r>
        <w:rPr>
          <w:sz w:val="24"/>
          <w:szCs w:val="24"/>
        </w:rPr>
        <w:t>) and the associated statistical basis.</w:t>
      </w:r>
    </w:p>
    <w:p w14:paraId="40100361" w14:textId="77777777" w:rsidR="00AA7009" w:rsidRDefault="00AA7009" w:rsidP="00AA7009">
      <w:pPr>
        <w:keepNext/>
        <w:rPr>
          <w:sz w:val="24"/>
          <w:szCs w:val="24"/>
        </w:rPr>
      </w:pPr>
      <w:r>
        <w:rPr>
          <w:sz w:val="24"/>
          <w:szCs w:val="24"/>
        </w:rPr>
        <w:t>The antenna shall maintain the declared peak pointing accuracy (</w:t>
      </w:r>
      <w:r>
        <w:rPr>
          <w:sz w:val="24"/>
          <w:szCs w:val="24"/>
        </w:rPr>
        <w:sym w:font="Symbol" w:char="F064"/>
      </w:r>
      <w:r>
        <w:rPr>
          <w:sz w:val="24"/>
          <w:szCs w:val="24"/>
        </w:rPr>
        <w:sym w:font="Symbol" w:char="F066"/>
      </w:r>
      <w:r>
        <w:rPr>
          <w:sz w:val="24"/>
          <w:szCs w:val="24"/>
        </w:rPr>
        <w:t>), such that the off-axis EIRP emission density pattern projected onto the geostationary arc remains within the mask specified in clause [Total EIRP density specification] when shifted by an angle of ±(</w:t>
      </w:r>
      <w:r>
        <w:rPr>
          <w:sz w:val="24"/>
          <w:szCs w:val="24"/>
        </w:rPr>
        <w:sym w:font="Symbol" w:char="F064"/>
      </w:r>
      <w:r>
        <w:rPr>
          <w:sz w:val="24"/>
          <w:szCs w:val="24"/>
        </w:rPr>
        <w:sym w:font="Symbol" w:char="F066"/>
      </w:r>
      <w:r>
        <w:rPr>
          <w:sz w:val="24"/>
          <w:szCs w:val="24"/>
        </w:rPr>
        <w:t>°), taking into account the following factors:</w:t>
      </w:r>
    </w:p>
    <w:p w14:paraId="415E65D9" w14:textId="77777777" w:rsidR="00AA7009" w:rsidRDefault="00AA7009" w:rsidP="00AA7009">
      <w:pPr>
        <w:pStyle w:val="B1"/>
        <w:rPr>
          <w:sz w:val="24"/>
          <w:szCs w:val="24"/>
        </w:rPr>
      </w:pPr>
      <w:r>
        <w:rPr>
          <w:sz w:val="24"/>
          <w:szCs w:val="24"/>
        </w:rPr>
        <w:t>the worst case operational environmental conditions;</w:t>
      </w:r>
    </w:p>
    <w:p w14:paraId="5D7605DB" w14:textId="77777777" w:rsidR="00AA7009" w:rsidRDefault="00AA7009" w:rsidP="00AA7009">
      <w:pPr>
        <w:pStyle w:val="B1"/>
        <w:rPr>
          <w:sz w:val="24"/>
          <w:szCs w:val="24"/>
        </w:rPr>
      </w:pPr>
      <w:r>
        <w:rPr>
          <w:sz w:val="24"/>
          <w:szCs w:val="24"/>
        </w:rPr>
        <w:t>maximum ESOMP dynamics; and</w:t>
      </w:r>
    </w:p>
    <w:p w14:paraId="13CB7C1A" w14:textId="77777777" w:rsidR="00AA7009" w:rsidRDefault="00AA7009" w:rsidP="00AA7009">
      <w:pPr>
        <w:pStyle w:val="B1"/>
        <w:rPr>
          <w:sz w:val="24"/>
          <w:szCs w:val="24"/>
        </w:rPr>
      </w:pPr>
      <w:r>
        <w:rPr>
          <w:sz w:val="24"/>
          <w:szCs w:val="24"/>
        </w:rPr>
        <w:t>the range of latitude, longitude and altitude relative to the satellite orbital position.”</w:t>
      </w:r>
    </w:p>
    <w:p w14:paraId="0064A73F" w14:textId="785F2F0C" w:rsidR="00AA7009" w:rsidRDefault="002B4E91" w:rsidP="00AA7009">
      <w:pPr>
        <w:jc w:val="both"/>
        <w:rPr>
          <w:rFonts w:ascii="Arial" w:hAnsi="Arial" w:cs="Arial"/>
          <w:szCs w:val="22"/>
        </w:rPr>
      </w:pPr>
      <w:r>
        <w:rPr>
          <w:rFonts w:ascii="Arial" w:hAnsi="Arial" w:cs="Arial"/>
          <w:b/>
        </w:rPr>
        <w:t>Proposal 4</w:t>
      </w:r>
      <w:r w:rsidR="00AA7009">
        <w:rPr>
          <w:rFonts w:ascii="Arial" w:hAnsi="Arial" w:cs="Arial"/>
          <w:b/>
        </w:rPr>
        <w:t xml:space="preserve">: </w:t>
      </w:r>
      <w:r w:rsidR="00AA7009">
        <w:rPr>
          <w:rFonts w:ascii="Arial" w:hAnsi="Arial" w:cs="Arial"/>
        </w:rPr>
        <w:t>For NTN UE in Ka-band, RAN4 to use ITU recommendation S.524 and/or EN 303 978 for radiated off-axis requirement.</w:t>
      </w:r>
    </w:p>
    <w:p w14:paraId="3070DF66" w14:textId="4721FC0C" w:rsidR="00AA7009" w:rsidRDefault="002B4E91" w:rsidP="00AA7009">
      <w:pPr>
        <w:jc w:val="both"/>
        <w:rPr>
          <w:rFonts w:ascii="Arial" w:hAnsi="Arial" w:cs="Arial"/>
        </w:rPr>
      </w:pPr>
      <w:r>
        <w:rPr>
          <w:rFonts w:ascii="Arial" w:hAnsi="Arial" w:cs="Arial"/>
          <w:b/>
        </w:rPr>
        <w:t>Proposal 5</w:t>
      </w:r>
      <w:r w:rsidR="00AA7009">
        <w:rPr>
          <w:rFonts w:ascii="Arial" w:hAnsi="Arial" w:cs="Arial"/>
          <w:b/>
        </w:rPr>
        <w:t xml:space="preserve">: </w:t>
      </w:r>
      <w:r w:rsidR="00AA7009">
        <w:rPr>
          <w:rFonts w:ascii="Arial" w:hAnsi="Arial" w:cs="Arial"/>
        </w:rPr>
        <w:t xml:space="preserve">RAN4 to consider the following (ITU recommendation </w:t>
      </w:r>
      <w:r w:rsidR="00AA7009">
        <w:rPr>
          <w:rFonts w:ascii="Arial" w:hAnsi="Arial" w:cs="Arial"/>
          <w:b/>
        </w:rPr>
        <w:t>S.524-9</w:t>
      </w:r>
      <w:r w:rsidR="00AA7009">
        <w:rPr>
          <w:rFonts w:ascii="Arial" w:hAnsi="Arial" w:cs="Arial"/>
        </w:rPr>
        <w:t>) as requirement:</w:t>
      </w:r>
    </w:p>
    <w:p w14:paraId="753718C8" w14:textId="77777777" w:rsidR="00AA7009" w:rsidRDefault="00AA7009" w:rsidP="00AA7009">
      <w:pPr>
        <w:tabs>
          <w:tab w:val="left" w:pos="794"/>
          <w:tab w:val="left" w:pos="1191"/>
          <w:tab w:val="left" w:pos="1588"/>
          <w:tab w:val="left" w:pos="1985"/>
        </w:tabs>
        <w:overflowPunct w:val="0"/>
        <w:autoSpaceDE w:val="0"/>
        <w:autoSpaceDN w:val="0"/>
        <w:adjustRightInd w:val="0"/>
        <w:spacing w:before="120" w:after="0"/>
        <w:jc w:val="both"/>
        <w:textAlignment w:val="baseline"/>
        <w:rPr>
          <w:rFonts w:eastAsia="Times New Roman"/>
          <w:sz w:val="24"/>
          <w:lang w:val="en-US"/>
        </w:rPr>
      </w:pPr>
      <w:r>
        <w:lastRenderedPageBreak/>
        <w:t>“</w:t>
      </w:r>
      <w:r>
        <w:rPr>
          <w:rFonts w:eastAsia="Times New Roman"/>
          <w:b/>
          <w:sz w:val="24"/>
        </w:rPr>
        <w:t>4</w:t>
      </w:r>
      <w:r>
        <w:rPr>
          <w:rFonts w:eastAsia="Times New Roman"/>
          <w:sz w:val="24"/>
        </w:rPr>
        <w:tab/>
        <w:t xml:space="preserve">that earth stations operating in GSO networks in the FSS transmitting in the 27.5-30 GHz frequency band be designed in such a manner that at any angle, </w:t>
      </w:r>
      <w:r>
        <w:rPr>
          <w:rFonts w:ascii="Symbol" w:eastAsia="Times New Roman" w:hAnsi="Symbol"/>
          <w:sz w:val="24"/>
          <w:lang w:val="fr-FR"/>
        </w:rPr>
        <w:t></w:t>
      </w:r>
      <w:r>
        <w:rPr>
          <w:rFonts w:eastAsia="Times New Roman"/>
          <w:sz w:val="24"/>
        </w:rPr>
        <w:t>, which is 2</w:t>
      </w:r>
      <w:r>
        <w:rPr>
          <w:rFonts w:ascii="Symbol" w:eastAsia="Times New Roman" w:hAnsi="Symbol"/>
          <w:sz w:val="24"/>
          <w:lang w:val="fr-FR"/>
        </w:rPr>
        <w:t></w:t>
      </w:r>
      <w:r>
        <w:rPr>
          <w:rFonts w:eastAsia="Times New Roman"/>
          <w:sz w:val="24"/>
        </w:rPr>
        <w:t xml:space="preserve"> or more off the main lobe axis of the earth station antenna, the e.i.r.p. density in any direction within 3</w:t>
      </w:r>
      <w:r>
        <w:rPr>
          <w:rFonts w:ascii="Symbol" w:eastAsia="Times New Roman" w:hAnsi="Symbol"/>
          <w:sz w:val="24"/>
          <w:lang w:val="fr-FR"/>
        </w:rPr>
        <w:t></w:t>
      </w:r>
      <w:r>
        <w:rPr>
          <w:rFonts w:eastAsia="Times New Roman"/>
          <w:sz w:val="24"/>
        </w:rPr>
        <w:t xml:space="preserve"> of the GSO should not exceed the following values:</w:t>
      </w:r>
    </w:p>
    <w:p w14:paraId="5DBE98E1" w14:textId="77777777" w:rsidR="00AA7009" w:rsidRDefault="00AA7009" w:rsidP="00AA7009">
      <w:pPr>
        <w:tabs>
          <w:tab w:val="left" w:pos="1191"/>
          <w:tab w:val="left" w:pos="4500"/>
          <w:tab w:val="left" w:pos="8789"/>
        </w:tabs>
        <w:overflowPunct w:val="0"/>
        <w:autoSpaceDE w:val="0"/>
        <w:autoSpaceDN w:val="0"/>
        <w:adjustRightInd w:val="0"/>
        <w:spacing w:before="80" w:after="0"/>
        <w:ind w:left="794" w:hanging="794"/>
        <w:jc w:val="both"/>
        <w:textAlignment w:val="baseline"/>
        <w:rPr>
          <w:rFonts w:eastAsia="Times New Roman"/>
          <w:sz w:val="24"/>
        </w:rPr>
      </w:pPr>
      <w:r>
        <w:rPr>
          <w:rFonts w:eastAsia="Times New Roman"/>
          <w:i/>
          <w:sz w:val="24"/>
        </w:rPr>
        <w:tab/>
        <w:t>Angle off-axis</w:t>
      </w:r>
      <w:r>
        <w:rPr>
          <w:rFonts w:eastAsia="Times New Roman"/>
          <w:sz w:val="24"/>
        </w:rPr>
        <w:tab/>
      </w:r>
      <w:r>
        <w:rPr>
          <w:rFonts w:eastAsia="Times New Roman"/>
          <w:i/>
          <w:sz w:val="24"/>
        </w:rPr>
        <w:t>Maximum e.i.r.p. per 40 kHz</w:t>
      </w:r>
    </w:p>
    <w:p w14:paraId="73FBE30D" w14:textId="77777777" w:rsidR="00AA7009" w:rsidRDefault="00AA7009" w:rsidP="00AA7009">
      <w:pPr>
        <w:tabs>
          <w:tab w:val="left" w:pos="794"/>
          <w:tab w:val="left" w:pos="1418"/>
          <w:tab w:val="left" w:pos="1985"/>
          <w:tab w:val="decimal" w:pos="2495"/>
          <w:tab w:val="left" w:pos="4500"/>
        </w:tabs>
        <w:overflowPunct w:val="0"/>
        <w:autoSpaceDE w:val="0"/>
        <w:autoSpaceDN w:val="0"/>
        <w:adjustRightInd w:val="0"/>
        <w:spacing w:before="80" w:after="0"/>
        <w:ind w:left="794" w:hanging="794"/>
        <w:jc w:val="both"/>
        <w:textAlignment w:val="baseline"/>
        <w:rPr>
          <w:rFonts w:eastAsia="Times New Roman"/>
          <w:sz w:val="24"/>
        </w:rPr>
      </w:pPr>
      <w:r>
        <w:rPr>
          <w:rFonts w:eastAsia="Times New Roman"/>
          <w:color w:val="FFFFFF"/>
          <w:sz w:val="24"/>
        </w:rPr>
        <w:tab/>
      </w:r>
      <w:r>
        <w:rPr>
          <w:rFonts w:eastAsia="Times New Roman"/>
          <w:color w:val="FFFFFF"/>
          <w:sz w:val="24"/>
          <w:lang w:val="fr-FR"/>
        </w:rPr>
        <w:t> </w:t>
      </w:r>
      <w:r>
        <w:rPr>
          <w:rFonts w:eastAsia="Times New Roman"/>
          <w:sz w:val="24"/>
        </w:rPr>
        <w:t>2</w:t>
      </w:r>
      <w:r>
        <w:rPr>
          <w:rFonts w:ascii="Symbol" w:eastAsia="Times New Roman" w:hAnsi="Symbol"/>
          <w:sz w:val="24"/>
          <w:lang w:val="fr-FR"/>
        </w:rPr>
        <w:t></w:t>
      </w:r>
      <w:r>
        <w:rPr>
          <w:rFonts w:eastAsia="Times New Roman"/>
          <w:sz w:val="24"/>
        </w:rPr>
        <w:tab/>
      </w:r>
      <w:r>
        <w:rPr>
          <w:rFonts w:ascii="Symbol" w:eastAsia="Times New Roman" w:hAnsi="Symbol"/>
          <w:sz w:val="24"/>
          <w:lang w:val="fr-FR"/>
        </w:rPr>
        <w:t></w:t>
      </w:r>
      <w:r>
        <w:rPr>
          <w:rFonts w:eastAsia="Times New Roman"/>
          <w:sz w:val="24"/>
        </w:rPr>
        <w:t>  </w:t>
      </w:r>
      <w:r>
        <w:rPr>
          <w:rFonts w:ascii="Symbol" w:eastAsia="Times New Roman" w:hAnsi="Symbol"/>
          <w:sz w:val="24"/>
          <w:lang w:val="fr-FR"/>
        </w:rPr>
        <w:t></w:t>
      </w:r>
      <w:r>
        <w:rPr>
          <w:rFonts w:eastAsia="Times New Roman"/>
          <w:sz w:val="24"/>
        </w:rPr>
        <w:t>  </w:t>
      </w:r>
      <w:r>
        <w:rPr>
          <w:rFonts w:ascii="Symbol" w:eastAsia="Times New Roman" w:hAnsi="Symbol"/>
          <w:sz w:val="24"/>
          <w:lang w:val="fr-FR"/>
        </w:rPr>
        <w:t></w:t>
      </w:r>
      <w:r>
        <w:rPr>
          <w:rFonts w:eastAsia="Times New Roman"/>
          <w:color w:val="FFFFFF"/>
          <w:sz w:val="24"/>
        </w:rPr>
        <w:tab/>
      </w:r>
      <w:r>
        <w:rPr>
          <w:rFonts w:eastAsia="Times New Roman"/>
          <w:sz w:val="24"/>
        </w:rPr>
        <w:t>7</w:t>
      </w:r>
      <w:r>
        <w:rPr>
          <w:rFonts w:ascii="Symbol" w:eastAsia="Times New Roman" w:hAnsi="Symbol"/>
          <w:sz w:val="24"/>
          <w:lang w:val="fr-FR"/>
        </w:rPr>
        <w:t></w:t>
      </w:r>
      <w:r>
        <w:rPr>
          <w:rFonts w:eastAsia="Times New Roman"/>
          <w:sz w:val="24"/>
        </w:rPr>
        <w:tab/>
        <w:t xml:space="preserve">(19 – 25 log </w:t>
      </w:r>
      <w:r>
        <w:rPr>
          <w:rFonts w:ascii="Symbol" w:eastAsia="Times New Roman" w:hAnsi="Symbol"/>
          <w:sz w:val="24"/>
          <w:lang w:val="fr-FR"/>
        </w:rPr>
        <w:t></w:t>
      </w:r>
      <w:r>
        <w:rPr>
          <w:rFonts w:eastAsia="Times New Roman"/>
          <w:sz w:val="24"/>
        </w:rPr>
        <w:t>) dB(W/40 kHz)</w:t>
      </w:r>
    </w:p>
    <w:p w14:paraId="21425878" w14:textId="77777777" w:rsidR="00AA7009" w:rsidRDefault="00AA7009" w:rsidP="00AA7009">
      <w:pPr>
        <w:tabs>
          <w:tab w:val="left" w:pos="794"/>
          <w:tab w:val="left" w:pos="1418"/>
          <w:tab w:val="left" w:pos="1985"/>
          <w:tab w:val="decimal" w:pos="2495"/>
          <w:tab w:val="left" w:pos="4500"/>
        </w:tabs>
        <w:overflowPunct w:val="0"/>
        <w:autoSpaceDE w:val="0"/>
        <w:autoSpaceDN w:val="0"/>
        <w:adjustRightInd w:val="0"/>
        <w:spacing w:before="80" w:after="0"/>
        <w:ind w:left="794" w:hanging="794"/>
        <w:jc w:val="both"/>
        <w:textAlignment w:val="baseline"/>
        <w:rPr>
          <w:rFonts w:eastAsia="Times New Roman"/>
          <w:sz w:val="24"/>
        </w:rPr>
      </w:pPr>
      <w:r>
        <w:rPr>
          <w:rFonts w:eastAsia="Times New Roman"/>
          <w:color w:val="FFFFFF"/>
          <w:sz w:val="24"/>
        </w:rPr>
        <w:t>0</w:t>
      </w:r>
      <w:r>
        <w:rPr>
          <w:rFonts w:eastAsia="Times New Roman"/>
          <w:color w:val="FFFFFF"/>
          <w:sz w:val="24"/>
        </w:rPr>
        <w:tab/>
      </w:r>
      <w:r>
        <w:rPr>
          <w:rFonts w:eastAsia="Times New Roman"/>
          <w:color w:val="FFFFFF"/>
          <w:sz w:val="24"/>
          <w:lang w:val="fr-FR"/>
        </w:rPr>
        <w:t> </w:t>
      </w:r>
      <w:r>
        <w:rPr>
          <w:rFonts w:eastAsia="Times New Roman"/>
          <w:sz w:val="24"/>
        </w:rPr>
        <w:t>7</w:t>
      </w:r>
      <w:r>
        <w:rPr>
          <w:rFonts w:ascii="Symbol" w:eastAsia="Times New Roman" w:hAnsi="Symbol"/>
          <w:sz w:val="24"/>
          <w:lang w:val="fr-FR"/>
        </w:rPr>
        <w:t></w:t>
      </w:r>
      <w:r>
        <w:rPr>
          <w:rFonts w:ascii="Symbol" w:eastAsia="Times New Roman" w:hAnsi="Symbol"/>
          <w:sz w:val="24"/>
        </w:rPr>
        <w:tab/>
      </w:r>
      <w:r>
        <w:rPr>
          <w:rFonts w:ascii="Symbol" w:eastAsia="Times New Roman" w:hAnsi="Symbol"/>
          <w:sz w:val="24"/>
          <w:lang w:val="fr-FR"/>
        </w:rPr>
        <w:t></w:t>
      </w:r>
      <w:r>
        <w:rPr>
          <w:rFonts w:eastAsia="Times New Roman"/>
          <w:sz w:val="24"/>
        </w:rPr>
        <w:t>  </w:t>
      </w:r>
      <w:r>
        <w:rPr>
          <w:rFonts w:ascii="Symbol" w:eastAsia="Times New Roman" w:hAnsi="Symbol"/>
          <w:sz w:val="24"/>
          <w:lang w:val="fr-FR"/>
        </w:rPr>
        <w:t></w:t>
      </w:r>
      <w:r>
        <w:rPr>
          <w:rFonts w:eastAsia="Times New Roman"/>
          <w:sz w:val="24"/>
        </w:rPr>
        <w:t>  </w:t>
      </w:r>
      <w:r>
        <w:rPr>
          <w:rFonts w:ascii="Symbol" w:eastAsia="Times New Roman" w:hAnsi="Symbol"/>
          <w:sz w:val="24"/>
          <w:lang w:val="fr-FR"/>
        </w:rPr>
        <w:t></w:t>
      </w:r>
      <w:r>
        <w:rPr>
          <w:rFonts w:eastAsia="Times New Roman"/>
          <w:color w:val="FFFFFF"/>
          <w:sz w:val="24"/>
        </w:rPr>
        <w:tab/>
      </w:r>
      <w:r>
        <w:rPr>
          <w:rFonts w:eastAsia="Times New Roman"/>
          <w:sz w:val="24"/>
        </w:rPr>
        <w:t>9.2</w:t>
      </w:r>
      <w:r>
        <w:rPr>
          <w:rFonts w:ascii="Symbol" w:eastAsia="Times New Roman" w:hAnsi="Symbol"/>
          <w:sz w:val="24"/>
          <w:lang w:val="fr-FR"/>
        </w:rPr>
        <w:t></w:t>
      </w:r>
      <w:r>
        <w:rPr>
          <w:rFonts w:eastAsia="Times New Roman"/>
          <w:sz w:val="24"/>
        </w:rPr>
        <w:tab/>
        <w:t>–2 dB(W/40 kHz)</w:t>
      </w:r>
    </w:p>
    <w:p w14:paraId="0948B90E" w14:textId="77777777" w:rsidR="00AA7009" w:rsidRDefault="00AA7009" w:rsidP="00AA7009">
      <w:pPr>
        <w:tabs>
          <w:tab w:val="left" w:pos="794"/>
          <w:tab w:val="left" w:pos="1418"/>
          <w:tab w:val="left" w:pos="1985"/>
          <w:tab w:val="decimal" w:pos="2495"/>
          <w:tab w:val="left" w:pos="4500"/>
        </w:tabs>
        <w:overflowPunct w:val="0"/>
        <w:autoSpaceDE w:val="0"/>
        <w:autoSpaceDN w:val="0"/>
        <w:adjustRightInd w:val="0"/>
        <w:spacing w:before="80" w:after="0"/>
        <w:ind w:left="794" w:hanging="794"/>
        <w:jc w:val="both"/>
        <w:textAlignment w:val="baseline"/>
        <w:rPr>
          <w:rFonts w:eastAsia="Times New Roman"/>
          <w:sz w:val="24"/>
        </w:rPr>
      </w:pPr>
      <w:r>
        <w:rPr>
          <w:rFonts w:eastAsia="Times New Roman"/>
          <w:color w:val="FFFFFF"/>
          <w:sz w:val="24"/>
        </w:rPr>
        <w:t>0</w:t>
      </w:r>
      <w:r>
        <w:rPr>
          <w:rFonts w:eastAsia="Times New Roman"/>
          <w:color w:val="FFFFFF"/>
          <w:sz w:val="24"/>
        </w:rPr>
        <w:tab/>
      </w:r>
      <w:r>
        <w:rPr>
          <w:rFonts w:eastAsia="Times New Roman"/>
          <w:color w:val="FFFFFF"/>
          <w:sz w:val="24"/>
          <w:lang w:val="fr-FR"/>
        </w:rPr>
        <w:t> </w:t>
      </w:r>
      <w:r>
        <w:rPr>
          <w:rFonts w:eastAsia="Times New Roman"/>
          <w:sz w:val="24"/>
        </w:rPr>
        <w:t>9.2</w:t>
      </w:r>
      <w:r>
        <w:rPr>
          <w:rFonts w:ascii="Symbol" w:eastAsia="Times New Roman" w:hAnsi="Symbol"/>
          <w:sz w:val="24"/>
          <w:lang w:val="fr-FR"/>
        </w:rPr>
        <w:t></w:t>
      </w:r>
      <w:r>
        <w:rPr>
          <w:rFonts w:eastAsia="Times New Roman"/>
          <w:sz w:val="24"/>
        </w:rPr>
        <w:tab/>
      </w:r>
      <w:r>
        <w:rPr>
          <w:rFonts w:ascii="Symbol" w:eastAsia="Times New Roman" w:hAnsi="Symbol"/>
          <w:sz w:val="24"/>
          <w:lang w:val="fr-FR"/>
        </w:rPr>
        <w:t></w:t>
      </w:r>
      <w:r>
        <w:rPr>
          <w:rFonts w:eastAsia="Times New Roman"/>
          <w:sz w:val="24"/>
        </w:rPr>
        <w:t>  </w:t>
      </w:r>
      <w:r>
        <w:rPr>
          <w:rFonts w:ascii="Symbol" w:eastAsia="Times New Roman" w:hAnsi="Symbol"/>
          <w:sz w:val="24"/>
          <w:lang w:val="fr-FR"/>
        </w:rPr>
        <w:t></w:t>
      </w:r>
      <w:r>
        <w:rPr>
          <w:rFonts w:eastAsia="Times New Roman"/>
          <w:sz w:val="24"/>
        </w:rPr>
        <w:t>  </w:t>
      </w:r>
      <w:r>
        <w:rPr>
          <w:rFonts w:ascii="Symbol" w:eastAsia="Times New Roman" w:hAnsi="Symbol"/>
          <w:sz w:val="24"/>
          <w:lang w:val="fr-FR"/>
        </w:rPr>
        <w:t></w:t>
      </w:r>
      <w:r>
        <w:rPr>
          <w:rFonts w:eastAsia="Times New Roman"/>
          <w:color w:val="FFFFFF"/>
          <w:sz w:val="24"/>
        </w:rPr>
        <w:tab/>
      </w:r>
      <w:r>
        <w:rPr>
          <w:rFonts w:eastAsia="Times New Roman"/>
          <w:sz w:val="24"/>
        </w:rPr>
        <w:t>48</w:t>
      </w:r>
      <w:r>
        <w:rPr>
          <w:rFonts w:ascii="Symbol" w:eastAsia="Times New Roman" w:hAnsi="Symbol"/>
          <w:sz w:val="24"/>
          <w:lang w:val="fr-FR"/>
        </w:rPr>
        <w:t></w:t>
      </w:r>
      <w:r>
        <w:rPr>
          <w:rFonts w:ascii="Symbol" w:eastAsia="Times New Roman" w:hAnsi="Symbol"/>
          <w:sz w:val="24"/>
        </w:rPr>
        <w:tab/>
      </w:r>
      <w:r>
        <w:rPr>
          <w:rFonts w:eastAsia="Times New Roman"/>
          <w:sz w:val="24"/>
        </w:rPr>
        <w:t xml:space="preserve">(22 – 25 log </w:t>
      </w:r>
      <w:r>
        <w:rPr>
          <w:rFonts w:ascii="Symbol" w:eastAsia="Times New Roman" w:hAnsi="Symbol"/>
          <w:sz w:val="24"/>
          <w:lang w:val="fr-FR"/>
        </w:rPr>
        <w:t></w:t>
      </w:r>
      <w:r>
        <w:rPr>
          <w:rFonts w:eastAsia="Times New Roman"/>
          <w:sz w:val="24"/>
        </w:rPr>
        <w:t>) dB(W/40 kHz)</w:t>
      </w:r>
    </w:p>
    <w:p w14:paraId="45F0102C" w14:textId="77777777" w:rsidR="00AA7009" w:rsidRDefault="00AA7009" w:rsidP="00AA7009">
      <w:pPr>
        <w:tabs>
          <w:tab w:val="left" w:pos="794"/>
          <w:tab w:val="left" w:pos="1418"/>
          <w:tab w:val="left" w:pos="1985"/>
          <w:tab w:val="decimal" w:pos="2495"/>
          <w:tab w:val="left" w:pos="4500"/>
        </w:tabs>
        <w:overflowPunct w:val="0"/>
        <w:autoSpaceDE w:val="0"/>
        <w:autoSpaceDN w:val="0"/>
        <w:adjustRightInd w:val="0"/>
        <w:spacing w:before="80" w:after="0"/>
        <w:ind w:left="794" w:hanging="794"/>
        <w:jc w:val="both"/>
        <w:textAlignment w:val="baseline"/>
        <w:rPr>
          <w:rFonts w:eastAsia="Times New Roman"/>
          <w:sz w:val="24"/>
        </w:rPr>
      </w:pPr>
      <w:r>
        <w:rPr>
          <w:rFonts w:eastAsia="Times New Roman"/>
          <w:sz w:val="24"/>
        </w:rPr>
        <w:tab/>
        <w:t>48</w:t>
      </w:r>
      <w:r>
        <w:rPr>
          <w:rFonts w:ascii="Symbol" w:eastAsia="Times New Roman" w:hAnsi="Symbol"/>
          <w:sz w:val="24"/>
          <w:lang w:val="fr-FR"/>
        </w:rPr>
        <w:t></w:t>
      </w:r>
      <w:r>
        <w:rPr>
          <w:rFonts w:eastAsia="Times New Roman"/>
          <w:sz w:val="24"/>
        </w:rPr>
        <w:tab/>
      </w:r>
      <w:r>
        <w:rPr>
          <w:rFonts w:ascii="Symbol" w:eastAsia="Times New Roman" w:hAnsi="Symbol"/>
          <w:sz w:val="24"/>
          <w:lang w:val="fr-FR"/>
        </w:rPr>
        <w:t></w:t>
      </w:r>
      <w:r>
        <w:rPr>
          <w:rFonts w:eastAsia="Times New Roman"/>
          <w:sz w:val="24"/>
        </w:rPr>
        <w:t>  </w:t>
      </w:r>
      <w:r>
        <w:rPr>
          <w:rFonts w:ascii="Symbol" w:eastAsia="Times New Roman" w:hAnsi="Symbol"/>
          <w:sz w:val="24"/>
          <w:lang w:val="fr-FR"/>
        </w:rPr>
        <w:t></w:t>
      </w:r>
      <w:r>
        <w:rPr>
          <w:rFonts w:eastAsia="Times New Roman"/>
          <w:sz w:val="24"/>
        </w:rPr>
        <w:t>  </w:t>
      </w:r>
      <w:r>
        <w:rPr>
          <w:rFonts w:ascii="Symbol" w:eastAsia="Times New Roman" w:hAnsi="Symbol"/>
          <w:sz w:val="24"/>
          <w:lang w:val="fr-FR"/>
        </w:rPr>
        <w:t></w:t>
      </w:r>
      <w:r>
        <w:rPr>
          <w:rFonts w:eastAsia="Times New Roman"/>
          <w:sz w:val="24"/>
        </w:rPr>
        <w:tab/>
        <w:t>180</w:t>
      </w:r>
      <w:r>
        <w:rPr>
          <w:rFonts w:ascii="Symbol" w:eastAsia="Times New Roman" w:hAnsi="Symbol"/>
          <w:sz w:val="24"/>
          <w:lang w:val="fr-FR"/>
        </w:rPr>
        <w:t></w:t>
      </w:r>
      <w:r>
        <w:rPr>
          <w:rFonts w:eastAsia="Times New Roman"/>
          <w:sz w:val="24"/>
        </w:rPr>
        <w:tab/>
        <w:t>–10 dB(W/40 kHz).</w:t>
      </w:r>
    </w:p>
    <w:p w14:paraId="25A949C5" w14:textId="77777777" w:rsidR="00AA7009" w:rsidRDefault="00AA7009" w:rsidP="00AA7009">
      <w:pPr>
        <w:rPr>
          <w:rFonts w:eastAsia="Times New Roman"/>
          <w:sz w:val="24"/>
        </w:rPr>
      </w:pPr>
      <w:r>
        <w:rPr>
          <w:rFonts w:eastAsia="Times New Roman"/>
          <w:sz w:val="24"/>
        </w:rPr>
        <w:t>For any direction in the region outside 3° of the GSO, the above levels may be exceeded by no more than 3 dB.</w:t>
      </w:r>
    </w:p>
    <w:p w14:paraId="6A7FBF9D" w14:textId="77777777" w:rsidR="00AA7009" w:rsidRDefault="00AA7009" w:rsidP="00AA7009">
      <w:pPr>
        <w:rPr>
          <w:rFonts w:ascii="Arial" w:eastAsiaTheme="minorHAnsi" w:hAnsi="Arial" w:cs="Arial"/>
          <w:szCs w:val="22"/>
        </w:rPr>
      </w:pPr>
      <w:r>
        <w:rPr>
          <w:rFonts w:eastAsia="Times New Roman"/>
          <w:sz w:val="24"/>
        </w:rPr>
        <w:t>”</w:t>
      </w:r>
    </w:p>
    <w:p w14:paraId="41E6DAF4" w14:textId="77777777" w:rsidR="00AA7009" w:rsidRDefault="00AA7009" w:rsidP="00AA7009">
      <w:pPr>
        <w:jc w:val="both"/>
        <w:rPr>
          <w:rFonts w:ascii="Arial" w:hAnsi="Arial" w:cs="Arial"/>
        </w:rPr>
      </w:pPr>
      <w:r>
        <w:rPr>
          <w:rFonts w:ascii="Arial" w:hAnsi="Arial" w:cs="Arial"/>
        </w:rPr>
        <w:t>Together with other relevant notes for instance:</w:t>
      </w:r>
    </w:p>
    <w:p w14:paraId="506A9237" w14:textId="77777777" w:rsidR="00AA7009" w:rsidRDefault="00AA7009" w:rsidP="00AA7009">
      <w:pPr>
        <w:rPr>
          <w:rFonts w:eastAsia="Times New Roman"/>
          <w:sz w:val="24"/>
          <w:lang w:val="en-US"/>
        </w:rPr>
      </w:pPr>
      <w:r>
        <w:t>“</w:t>
      </w:r>
      <w:r>
        <w:rPr>
          <w:rFonts w:eastAsia="Times New Roman"/>
          <w:sz w:val="24"/>
        </w:rPr>
        <w:t>NOTE </w:t>
      </w:r>
      <w:r>
        <w:rPr>
          <w:rFonts w:eastAsia="Times New Roman"/>
          <w:caps/>
          <w:sz w:val="24"/>
        </w:rPr>
        <w:t>10</w:t>
      </w:r>
      <w:r>
        <w:rPr>
          <w:rFonts w:eastAsia="Times New Roman"/>
          <w:sz w:val="24"/>
        </w:rPr>
        <w:t xml:space="preserve"> – FSS earth stations operating in the 27.5-30 GHz band, which have lower elevation angles to the GSO will require higher e.i.r.p. levels relative to the same terminals at higher elevation angles to achieve the same power flux-densities (pfds) at the GSO due to the combined effect of increased distance and atmospheric absorption. Earth stations with low elevation angles may exceed the levels of </w:t>
      </w:r>
      <w:r>
        <w:rPr>
          <w:rFonts w:eastAsia="Times New Roman"/>
          <w:i/>
          <w:sz w:val="24"/>
        </w:rPr>
        <w:t>recommends </w:t>
      </w:r>
      <w:r>
        <w:rPr>
          <w:rFonts w:eastAsia="Times New Roman"/>
          <w:sz w:val="24"/>
        </w:rPr>
        <w:t>4 by the following amount (see Annex 2):</w:t>
      </w:r>
    </w:p>
    <w:p w14:paraId="23781E13" w14:textId="77777777" w:rsidR="00AA7009" w:rsidRDefault="00AA7009" w:rsidP="00AA7009">
      <w:pPr>
        <w:tabs>
          <w:tab w:val="left" w:pos="794"/>
          <w:tab w:val="left" w:pos="1191"/>
          <w:tab w:val="left" w:pos="1588"/>
          <w:tab w:val="left" w:pos="1985"/>
          <w:tab w:val="left" w:pos="4253"/>
        </w:tabs>
        <w:overflowPunct w:val="0"/>
        <w:autoSpaceDE w:val="0"/>
        <w:autoSpaceDN w:val="0"/>
        <w:adjustRightInd w:val="0"/>
        <w:spacing w:before="80" w:after="0"/>
        <w:ind w:left="794" w:hanging="794"/>
        <w:jc w:val="both"/>
        <w:textAlignment w:val="baseline"/>
        <w:rPr>
          <w:rFonts w:eastAsia="Times New Roman"/>
          <w:i/>
          <w:iCs/>
          <w:sz w:val="24"/>
        </w:rPr>
      </w:pPr>
      <w:r>
        <w:rPr>
          <w:rFonts w:eastAsia="Times New Roman"/>
          <w:sz w:val="24"/>
        </w:rPr>
        <w:tab/>
      </w:r>
      <w:r>
        <w:rPr>
          <w:rFonts w:eastAsia="Times New Roman"/>
          <w:i/>
          <w:sz w:val="24"/>
        </w:rPr>
        <w:t>Elevation angle to GSO (</w:t>
      </w:r>
      <w:r>
        <w:rPr>
          <w:rFonts w:ascii="Symbol" w:eastAsia="Times New Roman" w:hAnsi="Symbol"/>
          <w:sz w:val="24"/>
          <w:lang w:val="fr-FR"/>
        </w:rPr>
        <w:t></w:t>
      </w:r>
      <w:r>
        <w:rPr>
          <w:rFonts w:eastAsia="Times New Roman"/>
          <w:i/>
          <w:sz w:val="24"/>
        </w:rPr>
        <w:t>)</w:t>
      </w:r>
      <w:r>
        <w:rPr>
          <w:rFonts w:eastAsia="Times New Roman"/>
          <w:i/>
          <w:sz w:val="24"/>
        </w:rPr>
        <w:tab/>
        <w:t>Increase in e.i.r.p. density (dB)</w:t>
      </w:r>
    </w:p>
    <w:p w14:paraId="52268D6D" w14:textId="77777777" w:rsidR="00AA7009" w:rsidRDefault="00AA7009" w:rsidP="00AA7009">
      <w:pPr>
        <w:tabs>
          <w:tab w:val="left" w:pos="794"/>
          <w:tab w:val="left" w:pos="1134"/>
          <w:tab w:val="left" w:pos="1418"/>
          <w:tab w:val="left" w:pos="1701"/>
          <w:tab w:val="right" w:pos="2268"/>
          <w:tab w:val="left" w:pos="4253"/>
          <w:tab w:val="left" w:pos="4395"/>
        </w:tabs>
        <w:overflowPunct w:val="0"/>
        <w:autoSpaceDE w:val="0"/>
        <w:autoSpaceDN w:val="0"/>
        <w:adjustRightInd w:val="0"/>
        <w:spacing w:before="80" w:after="0"/>
        <w:ind w:left="794" w:hanging="794"/>
        <w:jc w:val="both"/>
        <w:textAlignment w:val="baseline"/>
        <w:rPr>
          <w:rFonts w:eastAsia="Times New Roman"/>
          <w:sz w:val="24"/>
        </w:rPr>
      </w:pPr>
      <w:r>
        <w:rPr>
          <w:rFonts w:eastAsia="Times New Roman"/>
          <w:sz w:val="24"/>
        </w:rPr>
        <w:tab/>
      </w:r>
      <w:r>
        <w:rPr>
          <w:rFonts w:eastAsia="Times New Roman"/>
          <w:sz w:val="24"/>
        </w:rPr>
        <w:tab/>
      </w:r>
      <w:r>
        <w:rPr>
          <w:rFonts w:eastAsia="Times New Roman"/>
          <w:sz w:val="24"/>
        </w:rPr>
        <w:tab/>
      </w:r>
      <w:r>
        <w:rPr>
          <w:rFonts w:ascii="Symbol" w:eastAsia="Times New Roman" w:hAnsi="Symbol"/>
          <w:sz w:val="24"/>
          <w:lang w:val="fr-FR"/>
        </w:rPr>
        <w:sym w:font="Symbol" w:char="F065"/>
      </w:r>
      <w:r>
        <w:rPr>
          <w:rFonts w:eastAsia="Times New Roman"/>
          <w:sz w:val="24"/>
        </w:rPr>
        <w:tab/>
      </w:r>
      <w:r>
        <w:rPr>
          <w:rFonts w:ascii="Symbol" w:eastAsia="Times New Roman" w:hAnsi="Symbol"/>
          <w:sz w:val="24"/>
          <w:lang w:val="fr-FR"/>
        </w:rPr>
        <w:sym w:font="Symbol" w:char="F0A3"/>
      </w:r>
      <w:r>
        <w:rPr>
          <w:rFonts w:ascii="Symbol" w:eastAsia="Times New Roman" w:hAnsi="Symbol"/>
          <w:sz w:val="24"/>
        </w:rPr>
        <w:tab/>
      </w:r>
      <w:r>
        <w:rPr>
          <w:rFonts w:eastAsia="Times New Roman"/>
          <w:sz w:val="24"/>
        </w:rPr>
        <w:t>5</w:t>
      </w:r>
      <w:r>
        <w:rPr>
          <w:rFonts w:ascii="Symbol" w:eastAsia="Times New Roman" w:hAnsi="Symbol"/>
          <w:sz w:val="24"/>
          <w:lang w:val="fr-FR"/>
        </w:rPr>
        <w:t></w:t>
      </w:r>
      <w:r>
        <w:rPr>
          <w:rFonts w:eastAsia="Times New Roman"/>
          <w:sz w:val="24"/>
        </w:rPr>
        <w:tab/>
        <w:t>2.5</w:t>
      </w:r>
    </w:p>
    <w:p w14:paraId="2C0C763A" w14:textId="77777777" w:rsidR="00AA7009" w:rsidRDefault="00AA7009" w:rsidP="00AA7009">
      <w:pPr>
        <w:tabs>
          <w:tab w:val="left" w:pos="794"/>
          <w:tab w:val="left" w:pos="1134"/>
          <w:tab w:val="left" w:pos="1191"/>
          <w:tab w:val="left" w:pos="1418"/>
          <w:tab w:val="left" w:pos="1701"/>
          <w:tab w:val="right" w:pos="2268"/>
          <w:tab w:val="left" w:pos="4253"/>
          <w:tab w:val="left" w:pos="4395"/>
        </w:tabs>
        <w:overflowPunct w:val="0"/>
        <w:autoSpaceDE w:val="0"/>
        <w:autoSpaceDN w:val="0"/>
        <w:adjustRightInd w:val="0"/>
        <w:spacing w:before="80" w:after="0"/>
        <w:ind w:left="794" w:hanging="794"/>
        <w:jc w:val="both"/>
        <w:textAlignment w:val="baseline"/>
        <w:rPr>
          <w:rFonts w:ascii="Symbol" w:eastAsia="Times New Roman" w:hAnsi="Symbol"/>
          <w:sz w:val="24"/>
        </w:rPr>
      </w:pPr>
      <w:r>
        <w:rPr>
          <w:rFonts w:eastAsia="Times New Roman"/>
          <w:sz w:val="24"/>
        </w:rPr>
        <w:tab/>
        <w:t>5°</w:t>
      </w:r>
      <w:r>
        <w:rPr>
          <w:rFonts w:eastAsia="Times New Roman"/>
          <w:sz w:val="24"/>
        </w:rPr>
        <w:tab/>
      </w:r>
      <w:r>
        <w:rPr>
          <w:rFonts w:ascii="Symbol" w:eastAsia="Times New Roman" w:hAnsi="Symbol"/>
          <w:sz w:val="24"/>
          <w:lang w:val="fr-FR"/>
        </w:rPr>
        <w:t></w:t>
      </w:r>
      <w:r>
        <w:rPr>
          <w:rFonts w:eastAsia="Times New Roman"/>
          <w:sz w:val="24"/>
        </w:rPr>
        <w:tab/>
      </w:r>
      <w:r>
        <w:rPr>
          <w:rFonts w:ascii="Symbol" w:eastAsia="Times New Roman" w:hAnsi="Symbol"/>
          <w:sz w:val="24"/>
          <w:lang w:val="fr-FR"/>
        </w:rPr>
        <w:sym w:font="Symbol" w:char="F065"/>
      </w:r>
      <w:r>
        <w:rPr>
          <w:rFonts w:eastAsia="Times New Roman"/>
          <w:sz w:val="24"/>
        </w:rPr>
        <w:tab/>
      </w:r>
      <w:r>
        <w:rPr>
          <w:rFonts w:ascii="Symbol" w:eastAsia="Times New Roman" w:hAnsi="Symbol"/>
          <w:sz w:val="24"/>
          <w:lang w:val="fr-FR"/>
        </w:rPr>
        <w:sym w:font="Symbol" w:char="F0A3"/>
      </w:r>
      <w:r>
        <w:rPr>
          <w:rFonts w:eastAsia="Times New Roman"/>
          <w:sz w:val="24"/>
        </w:rPr>
        <w:tab/>
        <w:t>30</w:t>
      </w:r>
      <w:r>
        <w:rPr>
          <w:rFonts w:ascii="Symbol" w:eastAsia="Times New Roman" w:hAnsi="Symbol"/>
          <w:sz w:val="24"/>
          <w:lang w:val="fr-FR"/>
        </w:rPr>
        <w:t></w:t>
      </w:r>
      <w:r>
        <w:rPr>
          <w:rFonts w:eastAsia="Times New Roman"/>
          <w:sz w:val="24"/>
        </w:rPr>
        <w:tab/>
        <w:t xml:space="preserve">3 – 0.1 </w:t>
      </w:r>
      <w:r>
        <w:rPr>
          <w:rFonts w:ascii="Symbol" w:eastAsia="Times New Roman" w:hAnsi="Symbol"/>
          <w:sz w:val="24"/>
          <w:lang w:val="fr-FR"/>
        </w:rPr>
        <w:sym w:font="Symbol" w:char="F065"/>
      </w:r>
    </w:p>
    <w:p w14:paraId="75204A8F" w14:textId="77777777" w:rsidR="00AA7009" w:rsidRDefault="00AA7009" w:rsidP="00AA7009">
      <w:pPr>
        <w:rPr>
          <w:rFonts w:ascii="Arial" w:eastAsiaTheme="minorHAnsi" w:hAnsi="Arial" w:cs="Arial"/>
          <w:szCs w:val="22"/>
        </w:rPr>
      </w:pPr>
      <w:r>
        <w:rPr>
          <w:rFonts w:eastAsia="Times New Roman"/>
          <w:sz w:val="24"/>
        </w:rPr>
        <w:t>”</w:t>
      </w:r>
    </w:p>
    <w:p w14:paraId="72D958B1" w14:textId="5984DF40" w:rsidR="00AA7009" w:rsidRDefault="002B4E91" w:rsidP="00AA7009">
      <w:pPr>
        <w:spacing w:line="252" w:lineRule="auto"/>
        <w:jc w:val="both"/>
        <w:rPr>
          <w:rFonts w:ascii="Arial" w:hAnsi="Arial" w:cs="Arial"/>
          <w:b/>
          <w:bCs/>
          <w:color w:val="000000" w:themeColor="text1"/>
        </w:rPr>
      </w:pPr>
      <w:r>
        <w:rPr>
          <w:rFonts w:ascii="Arial" w:hAnsi="Arial" w:cs="Arial"/>
          <w:b/>
          <w:bCs/>
          <w:color w:val="000000" w:themeColor="text1"/>
        </w:rPr>
        <w:t>Proposal 6</w:t>
      </w:r>
      <w:r w:rsidR="00AA7009">
        <w:rPr>
          <w:rFonts w:ascii="Arial" w:hAnsi="Arial" w:cs="Arial"/>
          <w:b/>
          <w:bCs/>
          <w:color w:val="000000" w:themeColor="text1"/>
        </w:rPr>
        <w:t xml:space="preserve">: </w:t>
      </w:r>
      <w:r w:rsidR="00AA7009">
        <w:rPr>
          <w:rFonts w:ascii="Arial" w:hAnsi="Arial" w:cs="Arial"/>
          <w:bCs/>
          <w:color w:val="000000" w:themeColor="text1"/>
        </w:rPr>
        <w:t>For NTN VSAT UE on-axis spurious radiation in above 10 GHz, clause 4.2.2 “On-axis spurious radiation” from EN 303 978 can be reused by 3GPP RAN4.</w:t>
      </w:r>
    </w:p>
    <w:p w14:paraId="172C6B2D" w14:textId="55BF8E7C" w:rsidR="00AA7009" w:rsidRDefault="002B4E91" w:rsidP="00AA7009">
      <w:pPr>
        <w:spacing w:line="252" w:lineRule="auto"/>
        <w:jc w:val="both"/>
        <w:rPr>
          <w:rFonts w:ascii="Arial" w:hAnsi="Arial" w:cs="Arial"/>
          <w:b/>
          <w:bCs/>
          <w:color w:val="000000" w:themeColor="text1"/>
        </w:rPr>
      </w:pPr>
      <w:r>
        <w:rPr>
          <w:rFonts w:ascii="Arial" w:hAnsi="Arial" w:cs="Arial"/>
          <w:b/>
          <w:bCs/>
          <w:color w:val="000000" w:themeColor="text1"/>
        </w:rPr>
        <w:t>Proposal 7</w:t>
      </w:r>
      <w:r w:rsidR="00AA7009">
        <w:rPr>
          <w:rFonts w:ascii="Arial" w:hAnsi="Arial" w:cs="Arial"/>
          <w:b/>
          <w:bCs/>
          <w:color w:val="000000" w:themeColor="text1"/>
        </w:rPr>
        <w:t xml:space="preserve">: </w:t>
      </w:r>
      <w:r w:rsidR="00AA7009">
        <w:rPr>
          <w:rFonts w:ascii="Arial" w:hAnsi="Arial" w:cs="Arial"/>
          <w:bCs/>
          <w:color w:val="000000" w:themeColor="text1"/>
        </w:rPr>
        <w:t>Similarly, for NTN VSAT UE in above 10 GHz, RAN4 can specify “cessation of emissions” according to clause 4.2.7 “Cessation of emissions” from EN 303 978.</w:t>
      </w:r>
    </w:p>
    <w:p w14:paraId="1E184DFB" w14:textId="781D77C9" w:rsidR="00AA7009" w:rsidRDefault="002B4E91" w:rsidP="00AA7009">
      <w:pPr>
        <w:spacing w:line="252" w:lineRule="auto"/>
        <w:jc w:val="both"/>
        <w:rPr>
          <w:rFonts w:ascii="Arial" w:hAnsi="Arial" w:cs="Arial"/>
          <w:b/>
          <w:bCs/>
          <w:color w:val="000000" w:themeColor="text1"/>
        </w:rPr>
      </w:pPr>
      <w:r>
        <w:rPr>
          <w:rFonts w:ascii="Arial" w:hAnsi="Arial" w:cs="Arial"/>
          <w:b/>
          <w:bCs/>
          <w:color w:val="000000" w:themeColor="text1"/>
        </w:rPr>
        <w:t>Proposal 8</w:t>
      </w:r>
      <w:r w:rsidR="00AA7009">
        <w:rPr>
          <w:rFonts w:ascii="Arial" w:hAnsi="Arial" w:cs="Arial"/>
          <w:b/>
          <w:bCs/>
          <w:color w:val="000000" w:themeColor="text1"/>
        </w:rPr>
        <w:t xml:space="preserve">: </w:t>
      </w:r>
      <w:r w:rsidR="00AA7009">
        <w:rPr>
          <w:rFonts w:ascii="Arial" w:hAnsi="Arial" w:cs="Arial"/>
          <w:bCs/>
          <w:color w:val="000000" w:themeColor="text1"/>
        </w:rPr>
        <w:t>The declared timing delay, interfaces and relevant parameters for mode of cessation of emissions/conditions to cease emissions shall be declared by manufacturer.</w:t>
      </w:r>
    </w:p>
    <w:p w14:paraId="2574453E" w14:textId="013DEA63" w:rsidR="00AA7009" w:rsidRDefault="002B4E91" w:rsidP="00AA7009">
      <w:pPr>
        <w:spacing w:line="252" w:lineRule="auto"/>
        <w:jc w:val="both"/>
        <w:rPr>
          <w:rFonts w:ascii="Arial" w:hAnsi="Arial" w:cs="Arial"/>
          <w:bCs/>
          <w:color w:val="000000" w:themeColor="text1"/>
        </w:rPr>
      </w:pPr>
      <w:r>
        <w:rPr>
          <w:rFonts w:ascii="Arial" w:hAnsi="Arial" w:cs="Arial"/>
          <w:b/>
          <w:bCs/>
          <w:color w:val="000000" w:themeColor="text1"/>
        </w:rPr>
        <w:t>Proposal 9</w:t>
      </w:r>
      <w:r w:rsidR="00AA7009">
        <w:rPr>
          <w:rFonts w:ascii="Arial" w:hAnsi="Arial" w:cs="Arial"/>
          <w:b/>
          <w:bCs/>
          <w:color w:val="000000" w:themeColor="text1"/>
        </w:rPr>
        <w:t xml:space="preserve">: </w:t>
      </w:r>
      <w:r w:rsidR="00AA7009">
        <w:rPr>
          <w:rFonts w:ascii="Arial" w:hAnsi="Arial" w:cs="Arial"/>
          <w:bCs/>
          <w:color w:val="000000" w:themeColor="text1"/>
        </w:rPr>
        <w:t xml:space="preserve">NTN UE beam steering, NTN UE beam switching </w:t>
      </w:r>
      <w:r w:rsidR="00AA7009">
        <w:rPr>
          <w:rFonts w:ascii="Arial" w:hAnsi="Arial" w:cs="Arial"/>
          <w:b/>
          <w:bCs/>
          <w:color w:val="000000" w:themeColor="text1"/>
        </w:rPr>
        <w:t>capabilities</w:t>
      </w:r>
      <w:r w:rsidR="00AA7009">
        <w:rPr>
          <w:rFonts w:ascii="Arial" w:hAnsi="Arial" w:cs="Arial"/>
          <w:bCs/>
          <w:color w:val="000000" w:themeColor="text1"/>
        </w:rPr>
        <w:t xml:space="preserve">, NTN UE beam switching granularity, NTN UE beam tracking </w:t>
      </w:r>
      <w:r w:rsidR="00AA7009">
        <w:rPr>
          <w:rFonts w:ascii="Arial" w:hAnsi="Arial" w:cs="Arial"/>
          <w:b/>
          <w:bCs/>
          <w:color w:val="000000" w:themeColor="text1"/>
        </w:rPr>
        <w:t>capability</w:t>
      </w:r>
      <w:r w:rsidR="00AA7009">
        <w:rPr>
          <w:rFonts w:ascii="Arial" w:hAnsi="Arial" w:cs="Arial"/>
          <w:bCs/>
          <w:color w:val="000000" w:themeColor="text1"/>
        </w:rPr>
        <w:t xml:space="preserve"> or satellite beam tracking capability, etc. shall be left for manufacturer declaration.</w:t>
      </w:r>
    </w:p>
    <w:p w14:paraId="789111B2" w14:textId="16050243" w:rsidR="00AA7009" w:rsidRDefault="002B4E91" w:rsidP="00AA7009">
      <w:pPr>
        <w:spacing w:line="252" w:lineRule="auto"/>
        <w:jc w:val="both"/>
        <w:rPr>
          <w:rFonts w:ascii="Arial" w:hAnsi="Arial" w:cs="Arial"/>
          <w:bCs/>
          <w:color w:val="000000" w:themeColor="text1"/>
        </w:rPr>
      </w:pPr>
      <w:r>
        <w:rPr>
          <w:rFonts w:ascii="Arial" w:hAnsi="Arial" w:cs="Arial"/>
          <w:b/>
          <w:bCs/>
          <w:color w:val="000000" w:themeColor="text1"/>
        </w:rPr>
        <w:t>Proposal 10</w:t>
      </w:r>
      <w:r w:rsidR="00AA7009">
        <w:rPr>
          <w:rFonts w:ascii="Arial" w:hAnsi="Arial" w:cs="Arial"/>
          <w:b/>
          <w:bCs/>
          <w:color w:val="000000" w:themeColor="text1"/>
        </w:rPr>
        <w:t xml:space="preserve">: At least </w:t>
      </w:r>
      <w:r w:rsidR="00AA7009">
        <w:rPr>
          <w:rFonts w:ascii="Arial" w:hAnsi="Arial" w:cs="Arial"/>
          <w:bCs/>
          <w:color w:val="000000" w:themeColor="text1"/>
        </w:rPr>
        <w:t xml:space="preserve">in the case of mechanical steering, </w:t>
      </w:r>
      <w:r w:rsidR="00AA7009">
        <w:rPr>
          <w:rFonts w:ascii="Arial" w:hAnsi="Arial" w:cs="Arial"/>
          <w:b/>
          <w:bCs/>
          <w:color w:val="000000" w:themeColor="text1"/>
        </w:rPr>
        <w:t>max switching time</w:t>
      </w:r>
      <w:r w:rsidR="00AA7009">
        <w:rPr>
          <w:rFonts w:ascii="Arial" w:hAnsi="Arial" w:cs="Arial"/>
          <w:bCs/>
          <w:color w:val="000000" w:themeColor="text1"/>
        </w:rPr>
        <w:t xml:space="preserve"> and/or the </w:t>
      </w:r>
      <w:r w:rsidR="00AA7009">
        <w:rPr>
          <w:rFonts w:ascii="Arial" w:hAnsi="Arial" w:cs="Arial"/>
          <w:b/>
          <w:bCs/>
          <w:color w:val="000000" w:themeColor="text1"/>
        </w:rPr>
        <w:t>min angular speed</w:t>
      </w:r>
      <w:r w:rsidR="00AA7009">
        <w:rPr>
          <w:rFonts w:ascii="Arial" w:hAnsi="Arial" w:cs="Arial"/>
          <w:bCs/>
          <w:color w:val="000000" w:themeColor="text1"/>
        </w:rPr>
        <w:t xml:space="preserve"> of a beam (if max switching time=Function(min angular speed)) should be defined in RAN4.</w:t>
      </w:r>
    </w:p>
    <w:p w14:paraId="7060C003" w14:textId="72D8A3A5" w:rsidR="00AA7009" w:rsidRDefault="002B4E91" w:rsidP="00AA7009">
      <w:pPr>
        <w:jc w:val="both"/>
        <w:rPr>
          <w:rFonts w:ascii="Arial" w:hAnsi="Arial" w:cs="Arial"/>
          <w:bCs/>
          <w:color w:val="000000" w:themeColor="text1"/>
        </w:rPr>
      </w:pPr>
      <w:r>
        <w:rPr>
          <w:rFonts w:ascii="Arial" w:hAnsi="Arial" w:cs="Arial"/>
          <w:b/>
          <w:bCs/>
          <w:color w:val="000000" w:themeColor="text1"/>
        </w:rPr>
        <w:t>Proposal 11</w:t>
      </w:r>
      <w:r w:rsidR="00AA7009">
        <w:rPr>
          <w:rFonts w:ascii="Arial" w:hAnsi="Arial" w:cs="Arial"/>
          <w:b/>
          <w:bCs/>
          <w:color w:val="000000" w:themeColor="text1"/>
        </w:rPr>
        <w:t xml:space="preserve">: </w:t>
      </w:r>
      <w:r w:rsidR="00AA7009">
        <w:rPr>
          <w:rFonts w:ascii="Arial" w:hAnsi="Arial" w:cs="Arial"/>
          <w:bCs/>
          <w:color w:val="000000" w:themeColor="text1"/>
        </w:rPr>
        <w:t>Basic RAN4 working hypothesis should consider that VSAT corresponds to at least 4 types of devices:</w:t>
      </w:r>
    </w:p>
    <w:p w14:paraId="4AB33816" w14:textId="77777777" w:rsidR="00AA7009" w:rsidRDefault="00AA7009" w:rsidP="00AA7009">
      <w:pPr>
        <w:pStyle w:val="Paragraphedeliste"/>
        <w:numPr>
          <w:ilvl w:val="0"/>
          <w:numId w:val="33"/>
        </w:numPr>
        <w:overflowPunct/>
        <w:autoSpaceDE/>
        <w:autoSpaceDN/>
        <w:adjustRightInd/>
        <w:spacing w:after="0"/>
        <w:ind w:firstLineChars="0"/>
        <w:contextualSpacing/>
        <w:textAlignment w:val="auto"/>
        <w:rPr>
          <w:rFonts w:ascii="Arial" w:hAnsi="Arial" w:cs="Arial"/>
          <w:bCs/>
          <w:color w:val="000000" w:themeColor="text1"/>
        </w:rPr>
      </w:pPr>
      <w:r>
        <w:rPr>
          <w:rFonts w:ascii="Arial" w:hAnsi="Arial" w:cs="Arial"/>
          <w:bCs/>
          <w:color w:val="000000" w:themeColor="text1"/>
        </w:rPr>
        <w:t>single beam, mechanical steering;</w:t>
      </w:r>
    </w:p>
    <w:p w14:paraId="587B8DB7" w14:textId="77777777" w:rsidR="00AA7009" w:rsidRDefault="00AA7009" w:rsidP="00AA7009">
      <w:pPr>
        <w:pStyle w:val="Paragraphedeliste"/>
        <w:numPr>
          <w:ilvl w:val="0"/>
          <w:numId w:val="33"/>
        </w:numPr>
        <w:overflowPunct/>
        <w:autoSpaceDE/>
        <w:autoSpaceDN/>
        <w:adjustRightInd/>
        <w:spacing w:after="0"/>
        <w:ind w:firstLineChars="0"/>
        <w:contextualSpacing/>
        <w:textAlignment w:val="auto"/>
        <w:rPr>
          <w:rFonts w:ascii="Arial" w:hAnsi="Arial" w:cs="Arial"/>
          <w:bCs/>
          <w:color w:val="000000" w:themeColor="text1"/>
        </w:rPr>
      </w:pPr>
      <w:r>
        <w:rPr>
          <w:rFonts w:ascii="Arial" w:hAnsi="Arial" w:cs="Arial"/>
          <w:bCs/>
          <w:color w:val="000000" w:themeColor="text1"/>
        </w:rPr>
        <w:t>dual beam, mechanical steering;</w:t>
      </w:r>
    </w:p>
    <w:p w14:paraId="16F88AA3" w14:textId="77777777" w:rsidR="00AA7009" w:rsidRDefault="00AA7009" w:rsidP="00AA7009">
      <w:pPr>
        <w:pStyle w:val="Paragraphedeliste"/>
        <w:numPr>
          <w:ilvl w:val="0"/>
          <w:numId w:val="33"/>
        </w:numPr>
        <w:overflowPunct/>
        <w:autoSpaceDE/>
        <w:autoSpaceDN/>
        <w:adjustRightInd/>
        <w:spacing w:after="0"/>
        <w:ind w:firstLineChars="0"/>
        <w:contextualSpacing/>
        <w:textAlignment w:val="auto"/>
        <w:rPr>
          <w:rFonts w:ascii="Arial" w:hAnsi="Arial" w:cs="Arial"/>
          <w:bCs/>
          <w:color w:val="000000" w:themeColor="text1"/>
        </w:rPr>
      </w:pPr>
      <w:r>
        <w:rPr>
          <w:rFonts w:ascii="Arial" w:hAnsi="Arial" w:cs="Arial"/>
          <w:bCs/>
          <w:color w:val="000000" w:themeColor="text1"/>
        </w:rPr>
        <w:t>single beam, electronic steering;</w:t>
      </w:r>
    </w:p>
    <w:p w14:paraId="57EB4AEE" w14:textId="77777777" w:rsidR="00AA7009" w:rsidRDefault="00AA7009" w:rsidP="00AA7009">
      <w:pPr>
        <w:pStyle w:val="Paragraphedeliste"/>
        <w:numPr>
          <w:ilvl w:val="0"/>
          <w:numId w:val="33"/>
        </w:numPr>
        <w:overflowPunct/>
        <w:autoSpaceDE/>
        <w:autoSpaceDN/>
        <w:adjustRightInd/>
        <w:spacing w:after="0"/>
        <w:ind w:firstLineChars="0"/>
        <w:contextualSpacing/>
        <w:textAlignment w:val="auto"/>
        <w:rPr>
          <w:rFonts w:ascii="Arial" w:hAnsi="Arial" w:cs="Arial"/>
          <w:bCs/>
          <w:color w:val="000000" w:themeColor="text1"/>
        </w:rPr>
      </w:pPr>
      <w:r>
        <w:rPr>
          <w:rFonts w:ascii="Arial" w:hAnsi="Arial" w:cs="Arial"/>
          <w:bCs/>
          <w:color w:val="000000" w:themeColor="text1"/>
        </w:rPr>
        <w:t>dual beam, electronic steering.</w:t>
      </w:r>
    </w:p>
    <w:p w14:paraId="78A683BE" w14:textId="77777777" w:rsidR="00AA7009" w:rsidRDefault="00AA7009" w:rsidP="00AA7009">
      <w:pPr>
        <w:spacing w:line="252" w:lineRule="auto"/>
        <w:jc w:val="both"/>
        <w:rPr>
          <w:rFonts w:ascii="Arial" w:hAnsi="Arial" w:cs="Arial"/>
          <w:bCs/>
          <w:color w:val="000000" w:themeColor="text1"/>
        </w:rPr>
      </w:pPr>
    </w:p>
    <w:p w14:paraId="4525D635" w14:textId="6EC0C02B" w:rsidR="00F34F9E" w:rsidRDefault="002B4E91" w:rsidP="00F34F9E">
      <w:pPr>
        <w:spacing w:line="252" w:lineRule="auto"/>
        <w:jc w:val="both"/>
        <w:rPr>
          <w:rFonts w:ascii="Arial" w:hAnsi="Arial" w:cs="Arial"/>
          <w:color w:val="000000" w:themeColor="text1"/>
          <w:lang w:val="en-US"/>
        </w:rPr>
      </w:pPr>
      <w:r>
        <w:rPr>
          <w:rFonts w:ascii="Arial" w:hAnsi="Arial" w:cs="Arial"/>
          <w:b/>
          <w:bCs/>
          <w:color w:val="000000" w:themeColor="text1"/>
        </w:rPr>
        <w:t>Proposal 12</w:t>
      </w:r>
      <w:r w:rsidR="00F34F9E">
        <w:rPr>
          <w:rFonts w:ascii="Arial" w:hAnsi="Arial" w:cs="Arial"/>
          <w:b/>
          <w:bCs/>
          <w:color w:val="000000" w:themeColor="text1"/>
        </w:rPr>
        <w:t xml:space="preserve">: </w:t>
      </w:r>
      <w:r w:rsidR="00F34F9E">
        <w:rPr>
          <w:rFonts w:ascii="Arial" w:hAnsi="Arial" w:cs="Arial"/>
          <w:lang w:eastAsia="zh-CN"/>
        </w:rPr>
        <w:t xml:space="preserve">RAN4 should (at least) identify an </w:t>
      </w:r>
      <w:r w:rsidR="00F34F9E">
        <w:rPr>
          <w:rFonts w:ascii="Arial" w:hAnsi="Arial" w:cs="Arial"/>
          <w:b/>
          <w:lang w:eastAsia="zh-CN"/>
        </w:rPr>
        <w:t>optional method for the NTN UE or the Network to disable NTN UE UL transmission if and when required</w:t>
      </w:r>
      <w:r w:rsidR="00F34F9E">
        <w:rPr>
          <w:rFonts w:ascii="Arial" w:hAnsi="Arial" w:cs="Arial"/>
          <w:lang w:eastAsia="zh-CN"/>
        </w:rPr>
        <w:t>. If RAN4 cannot identify a method, optional method to be further discussed in RAN2.</w:t>
      </w:r>
    </w:p>
    <w:p w14:paraId="088D4771" w14:textId="2E0E82B6" w:rsidR="00AA7009" w:rsidRDefault="002B4E91" w:rsidP="00AA7009">
      <w:pPr>
        <w:jc w:val="both"/>
        <w:rPr>
          <w:rFonts w:ascii="Arial" w:hAnsi="Arial" w:cs="Arial"/>
          <w:lang w:eastAsia="zh-CN"/>
        </w:rPr>
      </w:pPr>
      <w:r>
        <w:rPr>
          <w:rFonts w:ascii="Arial" w:hAnsi="Arial" w:cs="Arial"/>
          <w:b/>
          <w:bCs/>
          <w:color w:val="000000" w:themeColor="text1"/>
        </w:rPr>
        <w:lastRenderedPageBreak/>
        <w:t>Proposal 13</w:t>
      </w:r>
      <w:r w:rsidR="00AA7009">
        <w:rPr>
          <w:rFonts w:ascii="Arial" w:hAnsi="Arial" w:cs="Arial"/>
          <w:b/>
          <w:bCs/>
          <w:color w:val="000000" w:themeColor="text1"/>
        </w:rPr>
        <w:t xml:space="preserve">: VSAT UE </w:t>
      </w:r>
      <w:r w:rsidR="00AA7009">
        <w:rPr>
          <w:rFonts w:ascii="Arial" w:hAnsi="Arial" w:cs="Arial"/>
          <w:b/>
          <w:lang w:eastAsia="zh-CN"/>
        </w:rPr>
        <w:t>initial satellite search time</w:t>
      </w:r>
      <w:r w:rsidR="00AA7009">
        <w:rPr>
          <w:rFonts w:ascii="Arial" w:hAnsi="Arial" w:cs="Arial"/>
          <w:lang w:eastAsia="zh-CN"/>
        </w:rPr>
        <w:t xml:space="preserve"> can be considered based on manufacturer declaration (no requirement for </w:t>
      </w:r>
      <w:r w:rsidR="00AA7009">
        <w:rPr>
          <w:rFonts w:ascii="Arial" w:hAnsi="Arial" w:cs="Arial"/>
          <w:b/>
          <w:lang w:eastAsia="zh-CN"/>
        </w:rPr>
        <w:t>VSAT UE initial satellite search time</w:t>
      </w:r>
      <w:r w:rsidR="00AA7009">
        <w:rPr>
          <w:rFonts w:ascii="Arial" w:hAnsi="Arial" w:cs="Arial"/>
          <w:lang w:eastAsia="zh-CN"/>
        </w:rPr>
        <w:t xml:space="preserve"> shall be specifically considered by RAN4).</w:t>
      </w:r>
    </w:p>
    <w:p w14:paraId="56A7D877" w14:textId="6C915C08" w:rsidR="00AA7009" w:rsidRDefault="00AA7009" w:rsidP="00AA7009"/>
    <w:p w14:paraId="229CC47D" w14:textId="0F0C792D" w:rsidR="00AA7009" w:rsidRPr="008B7FAD" w:rsidRDefault="00AA7009" w:rsidP="00AA7009">
      <w:pPr>
        <w:pStyle w:val="Titre1"/>
        <w:rPr>
          <w:rFonts w:cs="Arial"/>
          <w:lang w:eastAsia="ja-JP"/>
        </w:rPr>
      </w:pPr>
      <w:r>
        <w:rPr>
          <w:rFonts w:cs="Arial"/>
          <w:lang w:eastAsia="ja-JP"/>
        </w:rPr>
        <w:t xml:space="preserve">Conclusion </w:t>
      </w:r>
      <w:r w:rsidR="006F0075">
        <w:rPr>
          <w:rFonts w:cs="Arial"/>
          <w:lang w:eastAsia="ja-JP"/>
        </w:rPr>
        <w:t>- E</w:t>
      </w:r>
      <w:r w:rsidR="00F34F9E">
        <w:rPr>
          <w:rFonts w:cs="Arial"/>
          <w:lang w:eastAsia="ja-JP"/>
        </w:rPr>
        <w:t>xplicit p</w:t>
      </w:r>
      <w:r>
        <w:rPr>
          <w:rFonts w:cs="Arial"/>
          <w:lang w:eastAsia="ja-JP"/>
        </w:rPr>
        <w:t>roposals that can be considered by RRM session</w:t>
      </w:r>
      <w:r w:rsidR="00F34F9E">
        <w:rPr>
          <w:rFonts w:cs="Arial"/>
          <w:lang w:eastAsia="ja-JP"/>
        </w:rPr>
        <w:t xml:space="preserve"> for discussion</w:t>
      </w:r>
    </w:p>
    <w:p w14:paraId="4A385C47" w14:textId="3B790BE9" w:rsidR="00AA7009" w:rsidRDefault="006478D4" w:rsidP="00AA7009">
      <w:pPr>
        <w:jc w:val="both"/>
        <w:rPr>
          <w:rFonts w:ascii="Arial" w:hAnsi="Arial" w:cs="Arial"/>
          <w:b/>
          <w:lang w:eastAsia="fr-FR"/>
        </w:rPr>
      </w:pPr>
      <w:r>
        <w:rPr>
          <w:rFonts w:ascii="Arial" w:hAnsi="Arial" w:cs="Arial"/>
          <w:b/>
          <w:lang w:eastAsia="fr-FR"/>
        </w:rPr>
        <w:t xml:space="preserve">Proposal 1r (from previous </w:t>
      </w:r>
      <w:r w:rsidR="002B4E91">
        <w:rPr>
          <w:rFonts w:ascii="Arial" w:hAnsi="Arial" w:cs="Arial"/>
          <w:b/>
          <w:lang w:eastAsia="fr-FR"/>
        </w:rPr>
        <w:t>Proposal 3</w:t>
      </w:r>
      <w:r>
        <w:rPr>
          <w:rFonts w:ascii="Arial" w:hAnsi="Arial" w:cs="Arial"/>
          <w:b/>
          <w:lang w:eastAsia="fr-FR"/>
        </w:rPr>
        <w:t>)</w:t>
      </w:r>
      <w:r w:rsidR="00AA7009">
        <w:rPr>
          <w:rFonts w:ascii="Arial" w:hAnsi="Arial" w:cs="Arial"/>
          <w:b/>
          <w:lang w:eastAsia="fr-FR"/>
        </w:rPr>
        <w:t xml:space="preserve">: RAN4 to specify NTN UE VSAT pointing accuracy based on manufacturer declaration. RAN4 </w:t>
      </w:r>
      <w:r>
        <w:rPr>
          <w:rFonts w:ascii="Arial" w:hAnsi="Arial" w:cs="Arial"/>
          <w:b/>
          <w:lang w:eastAsia="fr-FR"/>
        </w:rPr>
        <w:t>can reuse</w:t>
      </w:r>
      <w:r w:rsidR="00AA7009">
        <w:rPr>
          <w:rFonts w:ascii="Arial" w:hAnsi="Arial" w:cs="Arial"/>
          <w:b/>
          <w:lang w:eastAsia="fr-FR"/>
        </w:rPr>
        <w:t xml:space="preserve"> the explanation from EN 303 978:</w:t>
      </w:r>
    </w:p>
    <w:p w14:paraId="6F38E655" w14:textId="77777777" w:rsidR="00AA7009" w:rsidRDefault="00AA7009" w:rsidP="00AA7009">
      <w:pPr>
        <w:rPr>
          <w:sz w:val="24"/>
          <w:szCs w:val="24"/>
          <w:lang w:val="en-US"/>
        </w:rPr>
      </w:pPr>
      <w:r>
        <w:rPr>
          <w:sz w:val="24"/>
          <w:szCs w:val="24"/>
        </w:rPr>
        <w:t>“The applicant shall declare the peak pointing accuracy (</w:t>
      </w:r>
      <w:r>
        <w:rPr>
          <w:sz w:val="24"/>
          <w:szCs w:val="24"/>
        </w:rPr>
        <w:sym w:font="Symbol" w:char="F064"/>
      </w:r>
      <w:r>
        <w:rPr>
          <w:sz w:val="24"/>
          <w:szCs w:val="24"/>
        </w:rPr>
        <w:sym w:font="Symbol" w:char="F066"/>
      </w:r>
      <w:r>
        <w:rPr>
          <w:sz w:val="24"/>
          <w:szCs w:val="24"/>
        </w:rPr>
        <w:t>) and the associated statistical basis.</w:t>
      </w:r>
    </w:p>
    <w:p w14:paraId="74E94336" w14:textId="77777777" w:rsidR="00AA7009" w:rsidRDefault="00AA7009" w:rsidP="00AA7009">
      <w:pPr>
        <w:keepNext/>
        <w:rPr>
          <w:sz w:val="24"/>
          <w:szCs w:val="24"/>
        </w:rPr>
      </w:pPr>
      <w:r>
        <w:rPr>
          <w:sz w:val="24"/>
          <w:szCs w:val="24"/>
        </w:rPr>
        <w:t>The antenna shall maintain the declared peak pointing accuracy (</w:t>
      </w:r>
      <w:r>
        <w:rPr>
          <w:sz w:val="24"/>
          <w:szCs w:val="24"/>
        </w:rPr>
        <w:sym w:font="Symbol" w:char="F064"/>
      </w:r>
      <w:r>
        <w:rPr>
          <w:sz w:val="24"/>
          <w:szCs w:val="24"/>
        </w:rPr>
        <w:sym w:font="Symbol" w:char="F066"/>
      </w:r>
      <w:r>
        <w:rPr>
          <w:sz w:val="24"/>
          <w:szCs w:val="24"/>
        </w:rPr>
        <w:t>), such that the off-axis EIRP emission density pattern projected onto the geostationary arc remains within the mask specified in clause [Total EIRP density specification] when shifted by an angle of ±(</w:t>
      </w:r>
      <w:r>
        <w:rPr>
          <w:sz w:val="24"/>
          <w:szCs w:val="24"/>
        </w:rPr>
        <w:sym w:font="Symbol" w:char="F064"/>
      </w:r>
      <w:r>
        <w:rPr>
          <w:sz w:val="24"/>
          <w:szCs w:val="24"/>
        </w:rPr>
        <w:sym w:font="Symbol" w:char="F066"/>
      </w:r>
      <w:r>
        <w:rPr>
          <w:sz w:val="24"/>
          <w:szCs w:val="24"/>
        </w:rPr>
        <w:t>°), taking into account the following factors:</w:t>
      </w:r>
    </w:p>
    <w:p w14:paraId="33C46408" w14:textId="77777777" w:rsidR="00AA7009" w:rsidRDefault="00AA7009" w:rsidP="00AA7009">
      <w:pPr>
        <w:pStyle w:val="B1"/>
        <w:rPr>
          <w:sz w:val="24"/>
          <w:szCs w:val="24"/>
        </w:rPr>
      </w:pPr>
      <w:r>
        <w:rPr>
          <w:sz w:val="24"/>
          <w:szCs w:val="24"/>
        </w:rPr>
        <w:t>the worst case operational environmental conditions;</w:t>
      </w:r>
    </w:p>
    <w:p w14:paraId="103E52A9" w14:textId="77777777" w:rsidR="00AA7009" w:rsidRDefault="00AA7009" w:rsidP="00AA7009">
      <w:pPr>
        <w:pStyle w:val="B1"/>
        <w:rPr>
          <w:sz w:val="24"/>
          <w:szCs w:val="24"/>
        </w:rPr>
      </w:pPr>
      <w:r>
        <w:rPr>
          <w:sz w:val="24"/>
          <w:szCs w:val="24"/>
        </w:rPr>
        <w:t>maximum ESOMP dynamics; and</w:t>
      </w:r>
    </w:p>
    <w:p w14:paraId="41F5E95F" w14:textId="77777777" w:rsidR="00AA7009" w:rsidRDefault="00AA7009" w:rsidP="00AA7009">
      <w:pPr>
        <w:pStyle w:val="B1"/>
        <w:rPr>
          <w:sz w:val="24"/>
          <w:szCs w:val="24"/>
        </w:rPr>
      </w:pPr>
      <w:r>
        <w:rPr>
          <w:sz w:val="24"/>
          <w:szCs w:val="24"/>
        </w:rPr>
        <w:t>the range of latitude, longitude and altitude relative to the satellite orbital position.”</w:t>
      </w:r>
    </w:p>
    <w:p w14:paraId="196E067B" w14:textId="67D4370C" w:rsidR="00AA7009" w:rsidRDefault="006478D4" w:rsidP="00AA7009">
      <w:pPr>
        <w:spacing w:line="252" w:lineRule="auto"/>
        <w:jc w:val="both"/>
        <w:rPr>
          <w:rFonts w:ascii="Arial" w:hAnsi="Arial" w:cs="Arial"/>
          <w:b/>
          <w:bCs/>
          <w:color w:val="000000" w:themeColor="text1"/>
        </w:rPr>
      </w:pPr>
      <w:r>
        <w:rPr>
          <w:rFonts w:ascii="Arial" w:hAnsi="Arial" w:cs="Arial"/>
          <w:b/>
          <w:lang w:eastAsia="fr-FR"/>
        </w:rPr>
        <w:t xml:space="preserve">Proposal 2r (from previous </w:t>
      </w:r>
      <w:r w:rsidR="002B4E91">
        <w:rPr>
          <w:rFonts w:ascii="Arial" w:hAnsi="Arial" w:cs="Arial"/>
          <w:b/>
          <w:bCs/>
          <w:color w:val="000000" w:themeColor="text1"/>
        </w:rPr>
        <w:t>Proposal 7</w:t>
      </w:r>
      <w:r>
        <w:rPr>
          <w:rFonts w:ascii="Arial" w:hAnsi="Arial" w:cs="Arial"/>
          <w:b/>
          <w:bCs/>
          <w:color w:val="000000" w:themeColor="text1"/>
        </w:rPr>
        <w:t>)</w:t>
      </w:r>
      <w:r w:rsidR="00AA7009">
        <w:rPr>
          <w:rFonts w:ascii="Arial" w:hAnsi="Arial" w:cs="Arial"/>
          <w:b/>
          <w:bCs/>
          <w:color w:val="000000" w:themeColor="text1"/>
        </w:rPr>
        <w:t xml:space="preserve">: </w:t>
      </w:r>
      <w:r>
        <w:rPr>
          <w:rFonts w:ascii="Arial" w:hAnsi="Arial" w:cs="Arial"/>
          <w:bCs/>
          <w:color w:val="000000" w:themeColor="text1"/>
        </w:rPr>
        <w:t>F</w:t>
      </w:r>
      <w:r w:rsidR="00AA7009">
        <w:rPr>
          <w:rFonts w:ascii="Arial" w:hAnsi="Arial" w:cs="Arial"/>
          <w:bCs/>
          <w:color w:val="000000" w:themeColor="text1"/>
        </w:rPr>
        <w:t>or NTN VSAT UE in above 10 GHz, RAN4 can specify “cessation of emissions” according to clause 4.2.7 “Cessation of emissions” from EN 303 978.</w:t>
      </w:r>
    </w:p>
    <w:p w14:paraId="2CFB564E" w14:textId="37ABF107" w:rsidR="00AA7009" w:rsidRDefault="006478D4" w:rsidP="00AA7009">
      <w:pPr>
        <w:spacing w:line="252" w:lineRule="auto"/>
        <w:jc w:val="both"/>
        <w:rPr>
          <w:rFonts w:ascii="Arial" w:hAnsi="Arial" w:cs="Arial"/>
          <w:b/>
          <w:bCs/>
          <w:color w:val="000000" w:themeColor="text1"/>
        </w:rPr>
      </w:pPr>
      <w:r>
        <w:rPr>
          <w:rFonts w:ascii="Arial" w:hAnsi="Arial" w:cs="Arial"/>
          <w:b/>
          <w:bCs/>
          <w:color w:val="000000" w:themeColor="text1"/>
        </w:rPr>
        <w:t xml:space="preserve">Proposal 3r (from previous </w:t>
      </w:r>
      <w:r w:rsidR="002B4E91">
        <w:rPr>
          <w:rFonts w:ascii="Arial" w:hAnsi="Arial" w:cs="Arial"/>
          <w:b/>
          <w:bCs/>
          <w:color w:val="000000" w:themeColor="text1"/>
        </w:rPr>
        <w:t>Proposal 8</w:t>
      </w:r>
      <w:r>
        <w:rPr>
          <w:rFonts w:ascii="Arial" w:hAnsi="Arial" w:cs="Arial"/>
          <w:b/>
          <w:bCs/>
          <w:color w:val="000000" w:themeColor="text1"/>
        </w:rPr>
        <w:t>)</w:t>
      </w:r>
      <w:r w:rsidR="00AA7009">
        <w:rPr>
          <w:rFonts w:ascii="Arial" w:hAnsi="Arial" w:cs="Arial"/>
          <w:b/>
          <w:bCs/>
          <w:color w:val="000000" w:themeColor="text1"/>
        </w:rPr>
        <w:t xml:space="preserve">: </w:t>
      </w:r>
      <w:r w:rsidR="00AA7009">
        <w:rPr>
          <w:rFonts w:ascii="Arial" w:hAnsi="Arial" w:cs="Arial"/>
          <w:bCs/>
          <w:color w:val="000000" w:themeColor="text1"/>
        </w:rPr>
        <w:t>The declared timing delay, interfaces and relevant parameters for mode of cessation of emissions/conditions to cease emissions shall be declared by manufacturer.</w:t>
      </w:r>
    </w:p>
    <w:p w14:paraId="412ABBF6" w14:textId="4AABF9E1" w:rsidR="00AA7009" w:rsidRDefault="006478D4" w:rsidP="00AA7009">
      <w:pPr>
        <w:spacing w:line="252" w:lineRule="auto"/>
        <w:jc w:val="both"/>
        <w:rPr>
          <w:rFonts w:ascii="Arial" w:hAnsi="Arial" w:cs="Arial"/>
          <w:bCs/>
          <w:color w:val="000000" w:themeColor="text1"/>
        </w:rPr>
      </w:pPr>
      <w:r>
        <w:rPr>
          <w:rFonts w:ascii="Arial" w:hAnsi="Arial" w:cs="Arial"/>
          <w:b/>
          <w:bCs/>
          <w:color w:val="000000" w:themeColor="text1"/>
        </w:rPr>
        <w:t xml:space="preserve">Proposal 4r (from previous </w:t>
      </w:r>
      <w:r w:rsidR="002B4E91">
        <w:rPr>
          <w:rFonts w:ascii="Arial" w:hAnsi="Arial" w:cs="Arial"/>
          <w:b/>
          <w:bCs/>
          <w:color w:val="000000" w:themeColor="text1"/>
        </w:rPr>
        <w:t>Proposal 9</w:t>
      </w:r>
      <w:r>
        <w:rPr>
          <w:rFonts w:ascii="Arial" w:hAnsi="Arial" w:cs="Arial"/>
          <w:b/>
          <w:bCs/>
          <w:color w:val="000000" w:themeColor="text1"/>
        </w:rPr>
        <w:t>)</w:t>
      </w:r>
      <w:r w:rsidR="00AA7009">
        <w:rPr>
          <w:rFonts w:ascii="Arial" w:hAnsi="Arial" w:cs="Arial"/>
          <w:b/>
          <w:bCs/>
          <w:color w:val="000000" w:themeColor="text1"/>
        </w:rPr>
        <w:t xml:space="preserve">: </w:t>
      </w:r>
      <w:r w:rsidR="00AA7009">
        <w:rPr>
          <w:rFonts w:ascii="Arial" w:hAnsi="Arial" w:cs="Arial"/>
          <w:bCs/>
          <w:color w:val="000000" w:themeColor="text1"/>
        </w:rPr>
        <w:t xml:space="preserve">NTN UE beam steering, NTN UE beam switching </w:t>
      </w:r>
      <w:r w:rsidR="00AA7009">
        <w:rPr>
          <w:rFonts w:ascii="Arial" w:hAnsi="Arial" w:cs="Arial"/>
          <w:b/>
          <w:bCs/>
          <w:color w:val="000000" w:themeColor="text1"/>
        </w:rPr>
        <w:t>capabilities</w:t>
      </w:r>
      <w:r w:rsidR="00AA7009">
        <w:rPr>
          <w:rFonts w:ascii="Arial" w:hAnsi="Arial" w:cs="Arial"/>
          <w:bCs/>
          <w:color w:val="000000" w:themeColor="text1"/>
        </w:rPr>
        <w:t xml:space="preserve">, NTN UE beam switching granularity, NTN UE beam tracking </w:t>
      </w:r>
      <w:r w:rsidR="00AA7009">
        <w:rPr>
          <w:rFonts w:ascii="Arial" w:hAnsi="Arial" w:cs="Arial"/>
          <w:b/>
          <w:bCs/>
          <w:color w:val="000000" w:themeColor="text1"/>
        </w:rPr>
        <w:t>capability</w:t>
      </w:r>
      <w:r w:rsidR="00AA7009">
        <w:rPr>
          <w:rFonts w:ascii="Arial" w:hAnsi="Arial" w:cs="Arial"/>
          <w:bCs/>
          <w:color w:val="000000" w:themeColor="text1"/>
        </w:rPr>
        <w:t xml:space="preserve"> or satellite beam tracking capability, etc. shall be left for manufacturer declaration.</w:t>
      </w:r>
    </w:p>
    <w:p w14:paraId="1F79AD1A" w14:textId="44B42ACF" w:rsidR="00AA7009" w:rsidRDefault="006478D4" w:rsidP="00AA7009">
      <w:pPr>
        <w:spacing w:line="252" w:lineRule="auto"/>
        <w:jc w:val="both"/>
        <w:rPr>
          <w:rFonts w:ascii="Arial" w:hAnsi="Arial" w:cs="Arial"/>
          <w:bCs/>
          <w:color w:val="000000" w:themeColor="text1"/>
        </w:rPr>
      </w:pPr>
      <w:r>
        <w:rPr>
          <w:rFonts w:ascii="Arial" w:hAnsi="Arial" w:cs="Arial"/>
          <w:b/>
          <w:bCs/>
          <w:color w:val="000000" w:themeColor="text1"/>
        </w:rPr>
        <w:t xml:space="preserve">Proposal 5r (from previous </w:t>
      </w:r>
      <w:r w:rsidR="002B4E91">
        <w:rPr>
          <w:rFonts w:ascii="Arial" w:hAnsi="Arial" w:cs="Arial"/>
          <w:b/>
          <w:bCs/>
          <w:color w:val="000000" w:themeColor="text1"/>
        </w:rPr>
        <w:t>Proposal 10</w:t>
      </w:r>
      <w:r>
        <w:rPr>
          <w:rFonts w:ascii="Arial" w:hAnsi="Arial" w:cs="Arial"/>
          <w:b/>
          <w:bCs/>
          <w:color w:val="000000" w:themeColor="text1"/>
        </w:rPr>
        <w:t>)</w:t>
      </w:r>
      <w:r w:rsidR="00AA7009">
        <w:rPr>
          <w:rFonts w:ascii="Arial" w:hAnsi="Arial" w:cs="Arial"/>
          <w:b/>
          <w:bCs/>
          <w:color w:val="000000" w:themeColor="text1"/>
        </w:rPr>
        <w:t xml:space="preserve">: At least </w:t>
      </w:r>
      <w:r w:rsidR="00AA7009">
        <w:rPr>
          <w:rFonts w:ascii="Arial" w:hAnsi="Arial" w:cs="Arial"/>
          <w:bCs/>
          <w:color w:val="000000" w:themeColor="text1"/>
        </w:rPr>
        <w:t xml:space="preserve">in the case of mechanical steering, </w:t>
      </w:r>
      <w:r w:rsidR="00AA7009">
        <w:rPr>
          <w:rFonts w:ascii="Arial" w:hAnsi="Arial" w:cs="Arial"/>
          <w:b/>
          <w:bCs/>
          <w:color w:val="000000" w:themeColor="text1"/>
        </w:rPr>
        <w:t>max switching time</w:t>
      </w:r>
      <w:r w:rsidR="00AA7009">
        <w:rPr>
          <w:rFonts w:ascii="Arial" w:hAnsi="Arial" w:cs="Arial"/>
          <w:bCs/>
          <w:color w:val="000000" w:themeColor="text1"/>
        </w:rPr>
        <w:t xml:space="preserve"> and/or the </w:t>
      </w:r>
      <w:r w:rsidR="00AA7009">
        <w:rPr>
          <w:rFonts w:ascii="Arial" w:hAnsi="Arial" w:cs="Arial"/>
          <w:b/>
          <w:bCs/>
          <w:color w:val="000000" w:themeColor="text1"/>
        </w:rPr>
        <w:t>min angular speed</w:t>
      </w:r>
      <w:r w:rsidR="00AA7009">
        <w:rPr>
          <w:rFonts w:ascii="Arial" w:hAnsi="Arial" w:cs="Arial"/>
          <w:bCs/>
          <w:color w:val="000000" w:themeColor="text1"/>
        </w:rPr>
        <w:t xml:space="preserve"> of a beam (if max switching time=Function(min angular speed)) should be defined in RAN4.</w:t>
      </w:r>
    </w:p>
    <w:p w14:paraId="19F28508" w14:textId="43B3CC38" w:rsidR="00AA7009" w:rsidRDefault="006478D4" w:rsidP="00AA7009">
      <w:pPr>
        <w:jc w:val="both"/>
        <w:rPr>
          <w:rFonts w:ascii="Arial" w:hAnsi="Arial" w:cs="Arial"/>
          <w:bCs/>
          <w:color w:val="000000" w:themeColor="text1"/>
        </w:rPr>
      </w:pPr>
      <w:r>
        <w:rPr>
          <w:rFonts w:ascii="Arial" w:hAnsi="Arial" w:cs="Arial"/>
          <w:b/>
          <w:bCs/>
          <w:color w:val="000000" w:themeColor="text1"/>
        </w:rPr>
        <w:t xml:space="preserve">Proposal 6r (from previous </w:t>
      </w:r>
      <w:r w:rsidR="00AA7009">
        <w:rPr>
          <w:rFonts w:ascii="Arial" w:hAnsi="Arial" w:cs="Arial"/>
          <w:b/>
          <w:bCs/>
          <w:color w:val="000000" w:themeColor="text1"/>
        </w:rPr>
        <w:t>Proposa</w:t>
      </w:r>
      <w:r w:rsidR="002B4E91">
        <w:rPr>
          <w:rFonts w:ascii="Arial" w:hAnsi="Arial" w:cs="Arial"/>
          <w:b/>
          <w:bCs/>
          <w:color w:val="000000" w:themeColor="text1"/>
        </w:rPr>
        <w:t>l 11</w:t>
      </w:r>
      <w:r>
        <w:rPr>
          <w:rFonts w:ascii="Arial" w:hAnsi="Arial" w:cs="Arial"/>
          <w:b/>
          <w:bCs/>
          <w:color w:val="000000" w:themeColor="text1"/>
        </w:rPr>
        <w:t>)</w:t>
      </w:r>
      <w:r w:rsidR="00AA7009">
        <w:rPr>
          <w:rFonts w:ascii="Arial" w:hAnsi="Arial" w:cs="Arial"/>
          <w:b/>
          <w:bCs/>
          <w:color w:val="000000" w:themeColor="text1"/>
        </w:rPr>
        <w:t xml:space="preserve">: </w:t>
      </w:r>
      <w:r w:rsidR="00AA7009">
        <w:rPr>
          <w:rFonts w:ascii="Arial" w:hAnsi="Arial" w:cs="Arial"/>
          <w:bCs/>
          <w:color w:val="000000" w:themeColor="text1"/>
        </w:rPr>
        <w:t>Basic RAN4 working hypothesis should consider that VSAT corresponds to at least 4 types of devices:</w:t>
      </w:r>
    </w:p>
    <w:p w14:paraId="07E63B6F" w14:textId="77777777" w:rsidR="00AA7009" w:rsidRDefault="00AA7009" w:rsidP="00AA7009">
      <w:pPr>
        <w:pStyle w:val="Paragraphedeliste"/>
        <w:numPr>
          <w:ilvl w:val="0"/>
          <w:numId w:val="33"/>
        </w:numPr>
        <w:overflowPunct/>
        <w:autoSpaceDE/>
        <w:autoSpaceDN/>
        <w:adjustRightInd/>
        <w:spacing w:after="0"/>
        <w:ind w:firstLineChars="0"/>
        <w:contextualSpacing/>
        <w:textAlignment w:val="auto"/>
        <w:rPr>
          <w:rFonts w:ascii="Arial" w:hAnsi="Arial" w:cs="Arial"/>
          <w:bCs/>
          <w:color w:val="000000" w:themeColor="text1"/>
        </w:rPr>
      </w:pPr>
      <w:r>
        <w:rPr>
          <w:rFonts w:ascii="Arial" w:hAnsi="Arial" w:cs="Arial"/>
          <w:bCs/>
          <w:color w:val="000000" w:themeColor="text1"/>
        </w:rPr>
        <w:t>single beam, mechanical steering;</w:t>
      </w:r>
    </w:p>
    <w:p w14:paraId="2682B54B" w14:textId="77777777" w:rsidR="00AA7009" w:rsidRDefault="00AA7009" w:rsidP="00AA7009">
      <w:pPr>
        <w:pStyle w:val="Paragraphedeliste"/>
        <w:numPr>
          <w:ilvl w:val="0"/>
          <w:numId w:val="33"/>
        </w:numPr>
        <w:overflowPunct/>
        <w:autoSpaceDE/>
        <w:autoSpaceDN/>
        <w:adjustRightInd/>
        <w:spacing w:after="0"/>
        <w:ind w:firstLineChars="0"/>
        <w:contextualSpacing/>
        <w:textAlignment w:val="auto"/>
        <w:rPr>
          <w:rFonts w:ascii="Arial" w:hAnsi="Arial" w:cs="Arial"/>
          <w:bCs/>
          <w:color w:val="000000" w:themeColor="text1"/>
        </w:rPr>
      </w:pPr>
      <w:r>
        <w:rPr>
          <w:rFonts w:ascii="Arial" w:hAnsi="Arial" w:cs="Arial"/>
          <w:bCs/>
          <w:color w:val="000000" w:themeColor="text1"/>
        </w:rPr>
        <w:t>dual beam, mechanical steering;</w:t>
      </w:r>
    </w:p>
    <w:p w14:paraId="7F71B8E9" w14:textId="77777777" w:rsidR="00AA7009" w:rsidRDefault="00AA7009" w:rsidP="00AA7009">
      <w:pPr>
        <w:pStyle w:val="Paragraphedeliste"/>
        <w:numPr>
          <w:ilvl w:val="0"/>
          <w:numId w:val="33"/>
        </w:numPr>
        <w:overflowPunct/>
        <w:autoSpaceDE/>
        <w:autoSpaceDN/>
        <w:adjustRightInd/>
        <w:spacing w:after="0"/>
        <w:ind w:firstLineChars="0"/>
        <w:contextualSpacing/>
        <w:textAlignment w:val="auto"/>
        <w:rPr>
          <w:rFonts w:ascii="Arial" w:hAnsi="Arial" w:cs="Arial"/>
          <w:bCs/>
          <w:color w:val="000000" w:themeColor="text1"/>
        </w:rPr>
      </w:pPr>
      <w:r>
        <w:rPr>
          <w:rFonts w:ascii="Arial" w:hAnsi="Arial" w:cs="Arial"/>
          <w:bCs/>
          <w:color w:val="000000" w:themeColor="text1"/>
        </w:rPr>
        <w:t>single beam, electronic steering;</w:t>
      </w:r>
    </w:p>
    <w:p w14:paraId="48CFCB77" w14:textId="77777777" w:rsidR="00AA7009" w:rsidRDefault="00AA7009" w:rsidP="00AA7009">
      <w:pPr>
        <w:pStyle w:val="Paragraphedeliste"/>
        <w:numPr>
          <w:ilvl w:val="0"/>
          <w:numId w:val="33"/>
        </w:numPr>
        <w:overflowPunct/>
        <w:autoSpaceDE/>
        <w:autoSpaceDN/>
        <w:adjustRightInd/>
        <w:spacing w:after="0"/>
        <w:ind w:firstLineChars="0"/>
        <w:contextualSpacing/>
        <w:textAlignment w:val="auto"/>
        <w:rPr>
          <w:rFonts w:ascii="Arial" w:hAnsi="Arial" w:cs="Arial"/>
          <w:bCs/>
          <w:color w:val="000000" w:themeColor="text1"/>
        </w:rPr>
      </w:pPr>
      <w:r>
        <w:rPr>
          <w:rFonts w:ascii="Arial" w:hAnsi="Arial" w:cs="Arial"/>
          <w:bCs/>
          <w:color w:val="000000" w:themeColor="text1"/>
        </w:rPr>
        <w:t>dual beam, electronic steering.</w:t>
      </w:r>
    </w:p>
    <w:p w14:paraId="4D421FE7" w14:textId="77777777" w:rsidR="00A45F6B" w:rsidRDefault="00A45F6B" w:rsidP="00AA7009">
      <w:pPr>
        <w:jc w:val="both"/>
        <w:rPr>
          <w:rFonts w:ascii="Arial" w:hAnsi="Arial" w:cs="Arial"/>
          <w:b/>
          <w:bCs/>
          <w:color w:val="000000" w:themeColor="text1"/>
        </w:rPr>
      </w:pPr>
    </w:p>
    <w:p w14:paraId="2F256CF0" w14:textId="0DFA9F09" w:rsidR="00AA7009" w:rsidRDefault="006478D4" w:rsidP="00AA7009">
      <w:pPr>
        <w:jc w:val="both"/>
        <w:rPr>
          <w:rFonts w:ascii="Arial" w:hAnsi="Arial" w:cs="Arial"/>
          <w:lang w:eastAsia="zh-CN"/>
        </w:rPr>
      </w:pPr>
      <w:r>
        <w:rPr>
          <w:rFonts w:ascii="Arial" w:hAnsi="Arial" w:cs="Arial"/>
          <w:b/>
          <w:bCs/>
          <w:color w:val="000000" w:themeColor="text1"/>
        </w:rPr>
        <w:t>Prop</w:t>
      </w:r>
      <w:r w:rsidR="00A45F6B">
        <w:rPr>
          <w:rFonts w:ascii="Arial" w:hAnsi="Arial" w:cs="Arial"/>
          <w:b/>
          <w:bCs/>
          <w:color w:val="000000" w:themeColor="text1"/>
        </w:rPr>
        <w:t>osal 7</w:t>
      </w:r>
      <w:r>
        <w:rPr>
          <w:rFonts w:ascii="Arial" w:hAnsi="Arial" w:cs="Arial"/>
          <w:b/>
          <w:bCs/>
          <w:color w:val="000000" w:themeColor="text1"/>
        </w:rPr>
        <w:t xml:space="preserve">r (from previous </w:t>
      </w:r>
      <w:r w:rsidR="002B4E91">
        <w:rPr>
          <w:rFonts w:ascii="Arial" w:hAnsi="Arial" w:cs="Arial"/>
          <w:b/>
          <w:bCs/>
          <w:color w:val="000000" w:themeColor="text1"/>
        </w:rPr>
        <w:t>Proposal 13</w:t>
      </w:r>
      <w:r>
        <w:rPr>
          <w:rFonts w:ascii="Arial" w:hAnsi="Arial" w:cs="Arial"/>
          <w:b/>
          <w:bCs/>
          <w:color w:val="000000" w:themeColor="text1"/>
        </w:rPr>
        <w:t>)</w:t>
      </w:r>
      <w:r w:rsidR="00AA7009">
        <w:rPr>
          <w:rFonts w:ascii="Arial" w:hAnsi="Arial" w:cs="Arial"/>
          <w:b/>
          <w:bCs/>
          <w:color w:val="000000" w:themeColor="text1"/>
        </w:rPr>
        <w:t xml:space="preserve">: VSAT UE </w:t>
      </w:r>
      <w:r w:rsidR="00AA7009">
        <w:rPr>
          <w:rFonts w:ascii="Arial" w:hAnsi="Arial" w:cs="Arial"/>
          <w:b/>
          <w:lang w:eastAsia="zh-CN"/>
        </w:rPr>
        <w:t>initial satellite search time</w:t>
      </w:r>
      <w:r w:rsidR="00AA7009">
        <w:rPr>
          <w:rFonts w:ascii="Arial" w:hAnsi="Arial" w:cs="Arial"/>
          <w:lang w:eastAsia="zh-CN"/>
        </w:rPr>
        <w:t xml:space="preserve"> can be considered based on manufacturer declaration (no requirement for </w:t>
      </w:r>
      <w:r w:rsidR="00AA7009">
        <w:rPr>
          <w:rFonts w:ascii="Arial" w:hAnsi="Arial" w:cs="Arial"/>
          <w:b/>
          <w:lang w:eastAsia="zh-CN"/>
        </w:rPr>
        <w:t>VSAT UE initial satellite search time</w:t>
      </w:r>
      <w:r w:rsidR="00AA7009">
        <w:rPr>
          <w:rFonts w:ascii="Arial" w:hAnsi="Arial" w:cs="Arial"/>
          <w:lang w:eastAsia="zh-CN"/>
        </w:rPr>
        <w:t xml:space="preserve"> shall be specifically considered by RAN4).</w:t>
      </w:r>
    </w:p>
    <w:p w14:paraId="26B2A6F0" w14:textId="7397B461" w:rsidR="006478D4" w:rsidRDefault="006478D4" w:rsidP="006478D4">
      <w:pPr>
        <w:jc w:val="both"/>
        <w:rPr>
          <w:rFonts w:ascii="Arial" w:hAnsi="Arial" w:cs="Arial"/>
          <w:lang w:eastAsia="zh-CN"/>
        </w:rPr>
      </w:pPr>
      <w:r>
        <w:rPr>
          <w:rFonts w:ascii="Arial" w:hAnsi="Arial" w:cs="Arial"/>
          <w:b/>
          <w:bCs/>
          <w:color w:val="000000" w:themeColor="text1"/>
        </w:rPr>
        <w:t>Pr</w:t>
      </w:r>
      <w:r w:rsidR="002B4E91">
        <w:rPr>
          <w:rFonts w:ascii="Arial" w:hAnsi="Arial" w:cs="Arial"/>
          <w:b/>
          <w:bCs/>
          <w:color w:val="000000" w:themeColor="text1"/>
        </w:rPr>
        <w:t>oposal 8r</w:t>
      </w:r>
      <w:r>
        <w:rPr>
          <w:rFonts w:ascii="Arial" w:hAnsi="Arial" w:cs="Arial"/>
          <w:b/>
          <w:bCs/>
          <w:color w:val="000000" w:themeColor="text1"/>
        </w:rPr>
        <w:t xml:space="preserve">: </w:t>
      </w:r>
      <w:r w:rsidRPr="006478D4">
        <w:rPr>
          <w:rFonts w:ascii="Arial" w:hAnsi="Arial" w:cs="Arial"/>
          <w:bCs/>
          <w:color w:val="000000" w:themeColor="text1"/>
        </w:rPr>
        <w:t>Based on the feedback from RAN2, RAN4 to consider seamless HO at least for the dual beam case (both mechanical and electronic steering).</w:t>
      </w:r>
    </w:p>
    <w:p w14:paraId="12461C26" w14:textId="77777777" w:rsidR="006478D4" w:rsidRDefault="006478D4" w:rsidP="00AA7009">
      <w:pPr>
        <w:jc w:val="both"/>
        <w:rPr>
          <w:rFonts w:ascii="Arial" w:hAnsi="Arial" w:cs="Arial"/>
          <w:lang w:eastAsia="zh-CN"/>
        </w:rPr>
      </w:pPr>
    </w:p>
    <w:p w14:paraId="15E04B58" w14:textId="41DEFD00" w:rsidR="00AA7009" w:rsidRPr="00AA7009" w:rsidRDefault="00AA7009" w:rsidP="00AA7009"/>
    <w:p w14:paraId="532780F1" w14:textId="77777777" w:rsidR="007B130A" w:rsidRPr="00FD6229" w:rsidRDefault="007B130A">
      <w:pPr>
        <w:rPr>
          <w:rFonts w:ascii="Arial" w:eastAsia="PMingLiU"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3D70A" w14:textId="77777777" w:rsidR="00472578" w:rsidRDefault="00472578">
      <w:r>
        <w:separator/>
      </w:r>
    </w:p>
  </w:endnote>
  <w:endnote w:type="continuationSeparator" w:id="0">
    <w:p w14:paraId="607E1BC4" w14:textId="77777777" w:rsidR="00472578" w:rsidRDefault="00472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F1D6A" w14:textId="77777777" w:rsidR="00472578" w:rsidRDefault="00472578">
      <w:r>
        <w:separator/>
      </w:r>
    </w:p>
  </w:footnote>
  <w:footnote w:type="continuationSeparator" w:id="0">
    <w:p w14:paraId="4861BDA9" w14:textId="77777777" w:rsidR="00472578" w:rsidRDefault="00472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174ABAB2"/>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8"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026FFF"/>
    <w:multiLevelType w:val="hybridMultilevel"/>
    <w:tmpl w:val="97FABCF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EA2B5F"/>
    <w:multiLevelType w:val="hybridMultilevel"/>
    <w:tmpl w:val="491A03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abstractNumId w:val="17"/>
  </w:num>
  <w:num w:numId="2">
    <w:abstractNumId w:val="25"/>
  </w:num>
  <w:num w:numId="3">
    <w:abstractNumId w:val="29"/>
  </w:num>
  <w:num w:numId="4">
    <w:abstractNumId w:val="27"/>
  </w:num>
  <w:num w:numId="5">
    <w:abstractNumId w:val="6"/>
  </w:num>
  <w:num w:numId="6">
    <w:abstractNumId w:val="31"/>
  </w:num>
  <w:num w:numId="7">
    <w:abstractNumId w:val="1"/>
    <w:lvlOverride w:ilvl="0">
      <w:startOverride w:val="1"/>
    </w:lvlOverride>
  </w:num>
  <w:num w:numId="8">
    <w:abstractNumId w:val="15"/>
    <w:lvlOverride w:ilvl="0">
      <w:startOverride w:val="3"/>
    </w:lvlOverride>
  </w:num>
  <w:num w:numId="9">
    <w:abstractNumId w:val="9"/>
    <w:lvlOverride w:ilvl="0">
      <w:startOverride w:val="4"/>
    </w:lvlOverride>
  </w:num>
  <w:num w:numId="10">
    <w:abstractNumId w:val="8"/>
  </w:num>
  <w:num w:numId="11">
    <w:abstractNumId w:val="7"/>
  </w:num>
  <w:num w:numId="12">
    <w:abstractNumId w:val="3"/>
  </w:num>
  <w:num w:numId="13">
    <w:abstractNumId w:val="30"/>
  </w:num>
  <w:num w:numId="14">
    <w:abstractNumId w:val="24"/>
  </w:num>
  <w:num w:numId="15">
    <w:abstractNumId w:val="5"/>
  </w:num>
  <w:num w:numId="16">
    <w:abstractNumId w:val="22"/>
  </w:num>
  <w:num w:numId="17">
    <w:abstractNumId w:val="4"/>
  </w:num>
  <w:num w:numId="18">
    <w:abstractNumId w:val="12"/>
  </w:num>
  <w:num w:numId="19">
    <w:abstractNumId w:val="26"/>
  </w:num>
  <w:num w:numId="20">
    <w:abstractNumId w:val="0"/>
  </w:num>
  <w:num w:numId="21">
    <w:abstractNumId w:val="14"/>
  </w:num>
  <w:num w:numId="22">
    <w:abstractNumId w:val="16"/>
  </w:num>
  <w:num w:numId="23">
    <w:abstractNumId w:val="10"/>
  </w:num>
  <w:num w:numId="24">
    <w:abstractNumId w:val="13"/>
  </w:num>
  <w:num w:numId="25">
    <w:abstractNumId w:val="32"/>
  </w:num>
  <w:num w:numId="26">
    <w:abstractNumId w:val="28"/>
  </w:num>
  <w:num w:numId="27">
    <w:abstractNumId w:val="20"/>
  </w:num>
  <w:num w:numId="28">
    <w:abstractNumId w:val="19"/>
  </w:num>
  <w:num w:numId="29">
    <w:abstractNumId w:val="33"/>
  </w:num>
  <w:num w:numId="30">
    <w:abstractNumId w:val="21"/>
  </w:num>
  <w:num w:numId="31">
    <w:abstractNumId w:val="2"/>
  </w:num>
  <w:num w:numId="32">
    <w:abstractNumId w:val="11"/>
  </w:num>
  <w:num w:numId="33">
    <w:abstractNumId w:val="23"/>
  </w:num>
  <w:num w:numId="3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486C"/>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1421"/>
    <w:rsid w:val="00093450"/>
    <w:rsid w:val="0009396F"/>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1DC4"/>
    <w:rsid w:val="000E537B"/>
    <w:rsid w:val="000E57D0"/>
    <w:rsid w:val="000E5C44"/>
    <w:rsid w:val="000E604B"/>
    <w:rsid w:val="000E7858"/>
    <w:rsid w:val="000F33D1"/>
    <w:rsid w:val="000F39CA"/>
    <w:rsid w:val="000F57EA"/>
    <w:rsid w:val="000F669A"/>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0DF9"/>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4E91"/>
    <w:rsid w:val="002B516C"/>
    <w:rsid w:val="002B58D6"/>
    <w:rsid w:val="002B5E1D"/>
    <w:rsid w:val="002B60C1"/>
    <w:rsid w:val="002B61BB"/>
    <w:rsid w:val="002B63BF"/>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4E4A"/>
    <w:rsid w:val="00315867"/>
    <w:rsid w:val="00317C3F"/>
    <w:rsid w:val="00321150"/>
    <w:rsid w:val="00321BC9"/>
    <w:rsid w:val="00323557"/>
    <w:rsid w:val="00325D02"/>
    <w:rsid w:val="003260D7"/>
    <w:rsid w:val="00330984"/>
    <w:rsid w:val="0033332E"/>
    <w:rsid w:val="00335E70"/>
    <w:rsid w:val="00336697"/>
    <w:rsid w:val="0033770D"/>
    <w:rsid w:val="003418CB"/>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30C4"/>
    <w:rsid w:val="003E40EE"/>
    <w:rsid w:val="003E49FD"/>
    <w:rsid w:val="003F1C1B"/>
    <w:rsid w:val="003F31B7"/>
    <w:rsid w:val="003F3A2F"/>
    <w:rsid w:val="003F74C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959"/>
    <w:rsid w:val="004412A0"/>
    <w:rsid w:val="00442337"/>
    <w:rsid w:val="00445968"/>
    <w:rsid w:val="00446408"/>
    <w:rsid w:val="00447227"/>
    <w:rsid w:val="00447725"/>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1130"/>
    <w:rsid w:val="00472578"/>
    <w:rsid w:val="0047437A"/>
    <w:rsid w:val="00477658"/>
    <w:rsid w:val="00480E42"/>
    <w:rsid w:val="0048243C"/>
    <w:rsid w:val="00484C5D"/>
    <w:rsid w:val="00485388"/>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0401"/>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17E4A"/>
    <w:rsid w:val="00522A7E"/>
    <w:rsid w:val="00522F20"/>
    <w:rsid w:val="005308DB"/>
    <w:rsid w:val="00530A2E"/>
    <w:rsid w:val="00530FBE"/>
    <w:rsid w:val="00531694"/>
    <w:rsid w:val="00532061"/>
    <w:rsid w:val="00532235"/>
    <w:rsid w:val="00533159"/>
    <w:rsid w:val="005339DB"/>
    <w:rsid w:val="00534C89"/>
    <w:rsid w:val="0053719C"/>
    <w:rsid w:val="00541573"/>
    <w:rsid w:val="0054348A"/>
    <w:rsid w:val="0054468E"/>
    <w:rsid w:val="005461A8"/>
    <w:rsid w:val="00552D62"/>
    <w:rsid w:val="005549D3"/>
    <w:rsid w:val="0055620B"/>
    <w:rsid w:val="0056064A"/>
    <w:rsid w:val="0056310B"/>
    <w:rsid w:val="00564A80"/>
    <w:rsid w:val="00570373"/>
    <w:rsid w:val="005709DC"/>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478D4"/>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6B4B"/>
    <w:rsid w:val="00687409"/>
    <w:rsid w:val="00692A68"/>
    <w:rsid w:val="00693DCA"/>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3671"/>
    <w:rsid w:val="006D4176"/>
    <w:rsid w:val="006E0A73"/>
    <w:rsid w:val="006E0FEE"/>
    <w:rsid w:val="006E4179"/>
    <w:rsid w:val="006E6C11"/>
    <w:rsid w:val="006F0075"/>
    <w:rsid w:val="006F1D2E"/>
    <w:rsid w:val="006F1FA8"/>
    <w:rsid w:val="006F7C0C"/>
    <w:rsid w:val="00700755"/>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704E2"/>
    <w:rsid w:val="00774817"/>
    <w:rsid w:val="007763C1"/>
    <w:rsid w:val="00777E82"/>
    <w:rsid w:val="00781359"/>
    <w:rsid w:val="0078375E"/>
    <w:rsid w:val="00785CED"/>
    <w:rsid w:val="00786921"/>
    <w:rsid w:val="00790854"/>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0676E"/>
    <w:rsid w:val="00816078"/>
    <w:rsid w:val="008177E3"/>
    <w:rsid w:val="00823AA9"/>
    <w:rsid w:val="00825428"/>
    <w:rsid w:val="008255B9"/>
    <w:rsid w:val="00825CD8"/>
    <w:rsid w:val="00827324"/>
    <w:rsid w:val="0083523F"/>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1F48"/>
    <w:rsid w:val="00862089"/>
    <w:rsid w:val="00865A79"/>
    <w:rsid w:val="00866D5B"/>
    <w:rsid w:val="00866FF5"/>
    <w:rsid w:val="008673D4"/>
    <w:rsid w:val="00872515"/>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5F6B"/>
    <w:rsid w:val="00A469E7"/>
    <w:rsid w:val="00A46F21"/>
    <w:rsid w:val="00A5117C"/>
    <w:rsid w:val="00A51699"/>
    <w:rsid w:val="00A542C3"/>
    <w:rsid w:val="00A56AC9"/>
    <w:rsid w:val="00A604A4"/>
    <w:rsid w:val="00A61B7D"/>
    <w:rsid w:val="00A6413E"/>
    <w:rsid w:val="00A65BF4"/>
    <w:rsid w:val="00A6605B"/>
    <w:rsid w:val="00A66ADC"/>
    <w:rsid w:val="00A7147D"/>
    <w:rsid w:val="00A73AAE"/>
    <w:rsid w:val="00A73D28"/>
    <w:rsid w:val="00A76B8E"/>
    <w:rsid w:val="00A8178F"/>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A7009"/>
    <w:rsid w:val="00AB0C57"/>
    <w:rsid w:val="00AB1195"/>
    <w:rsid w:val="00AB28CF"/>
    <w:rsid w:val="00AB4182"/>
    <w:rsid w:val="00AB4D14"/>
    <w:rsid w:val="00AC27DB"/>
    <w:rsid w:val="00AC637E"/>
    <w:rsid w:val="00AC685D"/>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63F8"/>
    <w:rsid w:val="00B21028"/>
    <w:rsid w:val="00B2472D"/>
    <w:rsid w:val="00B24CA0"/>
    <w:rsid w:val="00B2549F"/>
    <w:rsid w:val="00B32602"/>
    <w:rsid w:val="00B3681F"/>
    <w:rsid w:val="00B36BD8"/>
    <w:rsid w:val="00B4108D"/>
    <w:rsid w:val="00B41E89"/>
    <w:rsid w:val="00B4316E"/>
    <w:rsid w:val="00B47FF5"/>
    <w:rsid w:val="00B53B6F"/>
    <w:rsid w:val="00B54BA9"/>
    <w:rsid w:val="00B55FF3"/>
    <w:rsid w:val="00B57265"/>
    <w:rsid w:val="00B62C5B"/>
    <w:rsid w:val="00B633AE"/>
    <w:rsid w:val="00B634E1"/>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0082"/>
    <w:rsid w:val="00BB14F1"/>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00F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17E3"/>
    <w:rsid w:val="00C943F3"/>
    <w:rsid w:val="00C95ED8"/>
    <w:rsid w:val="00CA08C6"/>
    <w:rsid w:val="00CA0A77"/>
    <w:rsid w:val="00CA2729"/>
    <w:rsid w:val="00CA3057"/>
    <w:rsid w:val="00CA45F8"/>
    <w:rsid w:val="00CA5B5A"/>
    <w:rsid w:val="00CB0305"/>
    <w:rsid w:val="00CB2CE9"/>
    <w:rsid w:val="00CB33C7"/>
    <w:rsid w:val="00CB6DA7"/>
    <w:rsid w:val="00CB7E4C"/>
    <w:rsid w:val="00CC0515"/>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80786"/>
    <w:rsid w:val="00D81CAB"/>
    <w:rsid w:val="00D81DAF"/>
    <w:rsid w:val="00D8576F"/>
    <w:rsid w:val="00D8677F"/>
    <w:rsid w:val="00D93A85"/>
    <w:rsid w:val="00D97F0C"/>
    <w:rsid w:val="00DA3A86"/>
    <w:rsid w:val="00DA7377"/>
    <w:rsid w:val="00DB10FF"/>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0532"/>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67DB"/>
    <w:rsid w:val="00E57B74"/>
    <w:rsid w:val="00E64C62"/>
    <w:rsid w:val="00E65BC6"/>
    <w:rsid w:val="00E65DF8"/>
    <w:rsid w:val="00E661FF"/>
    <w:rsid w:val="00E704F5"/>
    <w:rsid w:val="00E71882"/>
    <w:rsid w:val="00E726EB"/>
    <w:rsid w:val="00E72CF1"/>
    <w:rsid w:val="00E80B52"/>
    <w:rsid w:val="00E80BEB"/>
    <w:rsid w:val="00E824C3"/>
    <w:rsid w:val="00E840B3"/>
    <w:rsid w:val="00E84D10"/>
    <w:rsid w:val="00E8558D"/>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C386C"/>
    <w:rsid w:val="00EC4A82"/>
    <w:rsid w:val="00ED383A"/>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1D86"/>
    <w:rsid w:val="00F3468C"/>
    <w:rsid w:val="00F34F9E"/>
    <w:rsid w:val="00F35516"/>
    <w:rsid w:val="00F35790"/>
    <w:rsid w:val="00F4136D"/>
    <w:rsid w:val="00F41E60"/>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4AC5"/>
    <w:rsid w:val="00F7561E"/>
    <w:rsid w:val="00F75E9B"/>
    <w:rsid w:val="00F775CE"/>
    <w:rsid w:val="00F77EB0"/>
    <w:rsid w:val="00F87CDD"/>
    <w:rsid w:val="00F90062"/>
    <w:rsid w:val="00F9245E"/>
    <w:rsid w:val="00F933F0"/>
    <w:rsid w:val="00F937A3"/>
    <w:rsid w:val="00F94715"/>
    <w:rsid w:val="00F96A3D"/>
    <w:rsid w:val="00FA04AD"/>
    <w:rsid w:val="00FA2170"/>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F1"/>
    <w:pPr>
      <w:spacing w:after="180"/>
    </w:pPr>
    <w:rPr>
      <w:lang w:val="en-GB" w:eastAsia="en-US"/>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Char"/>
    <w:next w:val="Normal"/>
    <w:link w:val="Titre1C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Titre2">
    <w:name w:val="heading 2"/>
    <w:aliases w:val="header,Head2A,2,H2,h2,DO NOT USE_h2,h21,UNDERRUBRIK 1-2,Head 2,l2,TitreProp,Header 2,ITT t2,PA Major Section,Livello 2,R2,H21,Heading 2 Hidden,Head1,2nd level,heading 2,I2,Section Title,Heading2,list2,H2-Heading 2"/>
    <w:basedOn w:val="Titre1"/>
    <w:next w:val="Normal"/>
    <w:link w:val="Titre2Car"/>
    <w:autoRedefine/>
    <w:qFormat/>
    <w:rsid w:val="00B971BF"/>
    <w:pPr>
      <w:numPr>
        <w:ilvl w:val="1"/>
      </w:numPr>
      <w:pBdr>
        <w:top w:val="none" w:sz="0" w:space="0" w:color="auto"/>
      </w:pBdr>
      <w:spacing w:before="180"/>
      <w:outlineLvl w:val="1"/>
    </w:pPr>
    <w:rPr>
      <w:sz w:val="28"/>
      <w:szCs w:val="18"/>
      <w:lang w:eastAsia="zh-CN"/>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numPr>
        <w:numId w:val="0"/>
      </w:numPr>
      <w:ind w:left="1985" w:hanging="1985"/>
      <w:outlineLvl w:val="9"/>
    </w:pPr>
    <w:rPr>
      <w:sz w:val="20"/>
    </w:rPr>
  </w:style>
  <w:style w:type="paragraph" w:styleId="TM9">
    <w:name w:val="toc 9"/>
    <w:basedOn w:val="TM8"/>
    <w:pPr>
      <w:ind w:left="1418" w:hanging="1418"/>
    </w:pPr>
  </w:style>
  <w:style w:type="paragraph" w:styleId="TM8">
    <w:name w:val="toc 8"/>
    <w:basedOn w:val="TM1"/>
    <w:pPr>
      <w:spacing w:before="180"/>
      <w:ind w:left="2693" w:hanging="2693"/>
    </w:pPr>
    <w:rPr>
      <w:b/>
    </w:rPr>
  </w:style>
  <w:style w:type="paragraph" w:styleId="TM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pPr>
      <w:ind w:left="1701" w:hanging="1701"/>
    </w:pPr>
  </w:style>
  <w:style w:type="paragraph" w:styleId="TM4">
    <w:name w:val="toc 4"/>
    <w:basedOn w:val="TM3"/>
    <w:pPr>
      <w:ind w:left="1418" w:hanging="1418"/>
    </w:pPr>
  </w:style>
  <w:style w:type="paragraph" w:styleId="TM3">
    <w:name w:val="toc 3"/>
    <w:basedOn w:val="TM2"/>
    <w:pPr>
      <w:ind w:left="1134" w:hanging="1134"/>
    </w:pPr>
  </w:style>
  <w:style w:type="paragraph" w:styleId="TM2">
    <w:name w:val="toc 2"/>
    <w:basedOn w:val="TM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link w:val="PieddepageCar"/>
    <w:pPr>
      <w:jc w:val="center"/>
    </w:pPr>
    <w:rPr>
      <w:i/>
    </w:rPr>
  </w:style>
  <w:style w:type="character" w:styleId="Appelnotedebasdep">
    <w:name w:val="footnote reference"/>
    <w:semiHidden/>
    <w:rPr>
      <w:b/>
      <w:position w:val="6"/>
      <w:sz w:val="16"/>
    </w:rPr>
  </w:style>
  <w:style w:type="paragraph" w:styleId="Notedebasdepage">
    <w:name w:val="footnote text"/>
    <w:basedOn w:val="Normal"/>
    <w:link w:val="NotedebasdepageC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link w:val="B1Char"/>
    <w:qFormat/>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LgendeCar"/>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lang w:val="nb-NO"/>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tyle>
  <w:style w:type="character" w:styleId="Marquedecommentaire">
    <w:name w:val="annotation reference"/>
    <w:semiHidden/>
    <w:rPr>
      <w:sz w:val="16"/>
    </w:rPr>
  </w:style>
  <w:style w:type="paragraph" w:customStyle="1" w:styleId="Guidance">
    <w:name w:val="Guidance"/>
    <w:basedOn w:val="Normal"/>
    <w:link w:val="GuidanceChar"/>
    <w:rPr>
      <w:i/>
      <w:color w:val="0000FF"/>
      <w:lang w:val="x-none"/>
    </w:rPr>
  </w:style>
  <w:style w:type="paragraph" w:styleId="Commentaire">
    <w:name w:val="annotation text"/>
    <w:basedOn w:val="Normal"/>
    <w:link w:val="CommentaireC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Titre2Car">
    <w:name w:val="Titre 2 Car"/>
    <w:aliases w:val="header Car1,Head2A Car,2 Car,H2 Car,h2 Car,DO NOT USE_h2 Car,h21 Car,UNDERRUBRIK 1-2 Car,Head 2 Car,l2 Car,TitreProp Car,Header 2 Car,ITT t2 Car,PA Major Section Car,Livello 2 Car,R2 Car,H21 Car,Heading 2 Hidden Car,Head1 Car,2nd level Car"/>
    <w:link w:val="Titre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link w:val="Titre1"/>
    <w:rsid w:val="00CF4156"/>
    <w:rPr>
      <w:rFonts w:ascii="Arial" w:hAnsi="Arial"/>
      <w:sz w:val="36"/>
      <w:lang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74C16"/>
    <w:rPr>
      <w:rFonts w:ascii="Arial" w:hAnsi="Arial"/>
      <w:b/>
      <w:noProof/>
      <w:sz w:val="18"/>
      <w:lang w:val="en-GB" w:bidi="ar-SA"/>
    </w:rPr>
  </w:style>
  <w:style w:type="paragraph" w:styleId="Objetducommentaire">
    <w:name w:val="annotation subject"/>
    <w:basedOn w:val="Commentaire"/>
    <w:next w:val="Commentaire"/>
    <w:link w:val="ObjetducommentaireCar"/>
    <w:rsid w:val="00AE7868"/>
    <w:rPr>
      <w:b/>
      <w:bCs/>
    </w:rPr>
  </w:style>
  <w:style w:type="character" w:customStyle="1" w:styleId="CommentaireCar">
    <w:name w:val="Commentaire Car"/>
    <w:link w:val="Commentaire"/>
    <w:uiPriority w:val="99"/>
    <w:rsid w:val="00AE7868"/>
    <w:rPr>
      <w:lang w:val="en-GB" w:eastAsia="en-US"/>
    </w:rPr>
  </w:style>
  <w:style w:type="character" w:customStyle="1" w:styleId="Char">
    <w:name w:val="批注主题 Char"/>
    <w:basedOn w:val="CommentaireCar"/>
    <w:rsid w:val="00AE7868"/>
    <w:rPr>
      <w:lang w:val="en-GB" w:eastAsia="en-US"/>
    </w:rPr>
  </w:style>
  <w:style w:type="paragraph" w:styleId="Rvision">
    <w:name w:val="Revision"/>
    <w:hidden/>
    <w:uiPriority w:val="99"/>
    <w:semiHidden/>
    <w:rsid w:val="00AE7868"/>
    <w:rPr>
      <w:lang w:val="en-GB" w:eastAsia="en-US"/>
    </w:rPr>
  </w:style>
  <w:style w:type="paragraph" w:styleId="Textedebulles">
    <w:name w:val="Balloon Text"/>
    <w:basedOn w:val="Normal"/>
    <w:link w:val="TextedebullesCar"/>
    <w:rsid w:val="00AE7868"/>
    <w:pPr>
      <w:spacing w:after="0"/>
    </w:pPr>
    <w:rPr>
      <w:sz w:val="18"/>
      <w:szCs w:val="18"/>
    </w:rPr>
  </w:style>
  <w:style w:type="character" w:customStyle="1" w:styleId="TextedebullesCar">
    <w:name w:val="Texte de bulles Car"/>
    <w:link w:val="Textedebulles"/>
    <w:rsid w:val="00AE7868"/>
    <w:rPr>
      <w:sz w:val="18"/>
      <w:szCs w:val="18"/>
      <w:lang w:val="en-GB" w:eastAsia="en-US"/>
    </w:rPr>
  </w:style>
  <w:style w:type="character" w:styleId="Accentuation">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Titre8Car">
    <w:name w:val="Titre 8 Car"/>
    <w:link w:val="Titre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LgendeCar">
    <w:name w:val="Légende Car"/>
    <w:aliases w:val="cap Car,Caption Char1 Char Car,cap Char Char1 Car,Caption Char Char1 Char Car,cap Char2 Char Car,Ca Car,cap Char2 Car,Caption Char C... Car,Caption Char Car,cap1 Car,cap2 Car,cap11 Car,Légende-figure Car,Légende-figure Char Car,label Car"/>
    <w:link w:val="Lgende"/>
    <w:rsid w:val="00B2472D"/>
    <w:rPr>
      <w:b/>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6302AA"/>
    <w:rPr>
      <w:rFonts w:ascii="Arial" w:hAnsi="Arial"/>
      <w:sz w:val="28"/>
      <w:szCs w:val="18"/>
      <w:lang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6302AA"/>
    <w:rPr>
      <w:lang w:val="en-GB"/>
    </w:rPr>
  </w:style>
  <w:style w:type="paragraph" w:customStyle="1" w:styleId="3GPPNormalText">
    <w:name w:val="3GPP Normal Text"/>
    <w:basedOn w:val="Corpsdetexte"/>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TextebrutCar">
    <w:name w:val="Texte brut Car"/>
    <w:link w:val="Textebrut"/>
    <w:uiPriority w:val="99"/>
    <w:rsid w:val="006501AF"/>
    <w:rPr>
      <w:rFonts w:ascii="Courier New" w:hAnsi="Courier New"/>
      <w:lang w:val="nb-NO" w:eastAsia="en-US"/>
    </w:rPr>
  </w:style>
  <w:style w:type="paragraph" w:styleId="Sansinterligne">
    <w:name w:val="No Spacing"/>
    <w:uiPriority w:val="1"/>
    <w:qFormat/>
    <w:rsid w:val="00C85354"/>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rsid w:val="00C85354"/>
    <w:rPr>
      <w:b/>
      <w:bCs/>
      <w:lang w:val="en-GB" w:eastAsia="en-US"/>
    </w:rPr>
  </w:style>
  <w:style w:type="character" w:styleId="Rfrenceple">
    <w:name w:val="Subtle Reference"/>
    <w:uiPriority w:val="31"/>
    <w:qFormat/>
    <w:rsid w:val="00C85354"/>
    <w:rPr>
      <w:smallCaps/>
      <w:color w:val="C0504D"/>
      <w:u w:val="single"/>
    </w:rPr>
  </w:style>
  <w:style w:type="paragraph" w:customStyle="1" w:styleId="a">
    <w:name w:val="样式 页眉"/>
    <w:basedOn w:val="En-tt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PieddepageCar">
    <w:name w:val="Pied de page Car"/>
    <w:link w:val="Pieddepag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rsid w:val="00C35AA7"/>
    <w:rPr>
      <w:rFonts w:ascii="Arial" w:hAnsi="Arial"/>
      <w:sz w:val="24"/>
      <w:szCs w:val="18"/>
      <w:lang w:eastAsia="zh-CN"/>
    </w:rPr>
  </w:style>
  <w:style w:type="character" w:customStyle="1" w:styleId="Titre5Car">
    <w:name w:val="Titre 5 Car"/>
    <w:basedOn w:val="Policepardfaut"/>
    <w:link w:val="Titre5"/>
    <w:rsid w:val="00C35AA7"/>
    <w:rPr>
      <w:rFonts w:ascii="Arial" w:hAnsi="Arial"/>
      <w:sz w:val="22"/>
      <w:szCs w:val="18"/>
      <w:lang w:eastAsia="zh-CN"/>
    </w:rPr>
  </w:style>
  <w:style w:type="character" w:customStyle="1" w:styleId="Titre6Car">
    <w:name w:val="Titre 6 Car"/>
    <w:basedOn w:val="Policepardfaut"/>
    <w:link w:val="Titre6"/>
    <w:rsid w:val="00C35AA7"/>
    <w:rPr>
      <w:rFonts w:ascii="Arial" w:hAnsi="Arial"/>
      <w:szCs w:val="18"/>
      <w:lang w:eastAsia="zh-CN"/>
    </w:rPr>
  </w:style>
  <w:style w:type="character" w:customStyle="1" w:styleId="Titre7Car">
    <w:name w:val="Titre 7 Car"/>
    <w:basedOn w:val="Policepardfaut"/>
    <w:link w:val="Titre7"/>
    <w:rsid w:val="00C35AA7"/>
    <w:rPr>
      <w:rFonts w:ascii="Arial" w:hAnsi="Arial"/>
      <w:szCs w:val="18"/>
      <w:lang w:eastAsia="zh-CN"/>
    </w:rPr>
  </w:style>
  <w:style w:type="character" w:customStyle="1" w:styleId="Titre9Car">
    <w:name w:val="Titre 9 Car"/>
    <w:basedOn w:val="Policepardfaut"/>
    <w:link w:val="Titre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Retraitcorpsdetexte2">
    <w:name w:val="Body Text Indent 2"/>
    <w:basedOn w:val="Normal"/>
    <w:link w:val="Retraitcorpsdetexte2C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Retraitcorpsdetexte2Car">
    <w:name w:val="Retrait corps de texte 2 Car"/>
    <w:basedOn w:val="Policepardfaut"/>
    <w:link w:val="Retraitcorpsdetexte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Notedefin">
    <w:name w:val="endnote text"/>
    <w:basedOn w:val="Normal"/>
    <w:link w:val="NotedefinCar"/>
    <w:rsid w:val="00C35AA7"/>
    <w:pPr>
      <w:overflowPunct w:val="0"/>
      <w:autoSpaceDE w:val="0"/>
      <w:autoSpaceDN w:val="0"/>
      <w:adjustRightInd w:val="0"/>
      <w:textAlignment w:val="baseline"/>
    </w:pPr>
    <w:rPr>
      <w:rFonts w:eastAsia="Yu Mincho"/>
    </w:rPr>
  </w:style>
  <w:style w:type="character" w:customStyle="1" w:styleId="NotedefinCar">
    <w:name w:val="Note de fin Car"/>
    <w:basedOn w:val="Policepardfaut"/>
    <w:link w:val="Notedefin"/>
    <w:rsid w:val="00C35AA7"/>
    <w:rPr>
      <w:rFonts w:eastAsia="Yu Mincho"/>
      <w:lang w:val="en-GB" w:eastAsia="en-US"/>
    </w:rPr>
  </w:style>
  <w:style w:type="character" w:styleId="Appeldenotedefin">
    <w:name w:val="endnote reference"/>
    <w:rsid w:val="00C35AA7"/>
    <w:rPr>
      <w:vertAlign w:val="superscript"/>
    </w:rPr>
  </w:style>
  <w:style w:type="character" w:customStyle="1" w:styleId="NotedebasdepageCar">
    <w:name w:val="Note de bas de page Car"/>
    <w:basedOn w:val="Policepardfaut"/>
    <w:link w:val="Notedebasdepage"/>
    <w:semiHidden/>
    <w:rsid w:val="00C35AA7"/>
    <w:rPr>
      <w:sz w:val="16"/>
      <w:lang w:val="en-GB" w:eastAsia="en-US"/>
    </w:rPr>
  </w:style>
  <w:style w:type="table" w:styleId="Grilledutableau">
    <w:name w:val="Table Grid"/>
    <w:basedOn w:val="Tableau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Paragraphedelist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
    <w:basedOn w:val="Normal"/>
    <w:link w:val="ParagraphedelisteC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ParagraphedelisteCar">
    <w:name w:val="Paragraphe de liste Car"/>
    <w:aliases w:val="- Bullets Car,?? ?? Car,????? Car,???? Car,リスト段落 Car,Lista1 Car,列出段落1 Car,中等深浅网格 1 - 着色 21 Car,列表段落 Car,R4_bullets Car,列表段落1 Car,—ño’i—Ž Car,¥¡¡¡¡ì¬º¥¹¥È¶ÎÂä Car,ÁÐ³ö¶ÎÂä Car,¥ê¥¹¥È¶ÎÂä Car,1st level - Bullet List Paragraph Car"/>
    <w:link w:val="Paragraphedeliste"/>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auNormal"/>
    <w:next w:val="Grilledutableau"/>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customStyle="1" w:styleId="UnresolvedMention">
    <w:name w:val="Unresolved Mention"/>
    <w:basedOn w:val="Policepardfaut"/>
    <w:uiPriority w:val="99"/>
    <w:semiHidden/>
    <w:unhideWhenUsed/>
    <w:rsid w:val="001219F1"/>
    <w:rPr>
      <w:color w:val="605E5C"/>
      <w:shd w:val="clear" w:color="auto" w:fill="E1DFDD"/>
    </w:rPr>
  </w:style>
  <w:style w:type="paragraph" w:customStyle="1" w:styleId="B1">
    <w:name w:val="B1+"/>
    <w:basedOn w:val="Normal"/>
    <w:rsid w:val="00AA7009"/>
    <w:pPr>
      <w:numPr>
        <w:numId w:val="32"/>
      </w:numPr>
      <w:overflowPunct w:val="0"/>
      <w:autoSpaceDE w:val="0"/>
      <w:autoSpaceDN w:val="0"/>
      <w:adjustRightInd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418370">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68135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33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DCD6A-3942-491E-BC5A-3B0A6DEC8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1137</Words>
  <Characters>6254</Characters>
  <Application>Microsoft Office Word</Application>
  <DocSecurity>0</DocSecurity>
  <Lines>52</Lines>
  <Paragraphs>14</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7377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2</cp:revision>
  <cp:lastPrinted>2019-04-25T01:09:00Z</cp:lastPrinted>
  <dcterms:created xsi:type="dcterms:W3CDTF">2023-08-11T19:31:00Z</dcterms:created>
  <dcterms:modified xsi:type="dcterms:W3CDTF">2023-08-11T19:31:00Z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